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7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1"/>
      </w:tblGrid>
      <w:tr>
        <w:trPr>
          <w:trHeight w:val="422" w:hRule="atLeast"/>
        </w:trPr>
        <w:tc>
          <w:tcPr>
            <w:tcW w:w="6721" w:type="dxa"/>
          </w:tcPr>
          <w:p>
            <w:pPr>
              <w:pStyle w:val="TableParagraph"/>
              <w:spacing w:line="399" w:lineRule="exact"/>
              <w:ind w:left="175" w:right="175"/>
              <w:jc w:val="center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FUNDAÇÃO HOSPITAL SANTA LYDIA</w:t>
            </w:r>
          </w:p>
        </w:tc>
      </w:tr>
      <w:tr>
        <w:trPr>
          <w:trHeight w:val="290" w:hRule="atLeast"/>
        </w:trPr>
        <w:tc>
          <w:tcPr>
            <w:tcW w:w="6721" w:type="dxa"/>
          </w:tcPr>
          <w:p>
            <w:pPr>
              <w:pStyle w:val="TableParagraph"/>
              <w:spacing w:line="240" w:lineRule="auto" w:before="15"/>
              <w:ind w:left="175" w:right="17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Rua Tamandaré, 434 – CEP 14.085-070 - Campos Elíseos</w:t>
            </w:r>
          </w:p>
        </w:tc>
      </w:tr>
      <w:tr>
        <w:trPr>
          <w:trHeight w:val="285" w:hRule="atLeast"/>
        </w:trPr>
        <w:tc>
          <w:tcPr>
            <w:tcW w:w="6721" w:type="dxa"/>
          </w:tcPr>
          <w:p>
            <w:pPr>
              <w:pStyle w:val="TableParagraph"/>
              <w:spacing w:line="251" w:lineRule="exact" w:before="14"/>
              <w:ind w:left="175" w:right="17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Ribeirão Preto – S.P. – Tel.(16) 3605 4848</w:t>
            </w:r>
          </w:p>
        </w:tc>
      </w:tr>
      <w:tr>
        <w:trPr>
          <w:trHeight w:val="238" w:hRule="atLeast"/>
        </w:trPr>
        <w:tc>
          <w:tcPr>
            <w:tcW w:w="6721" w:type="dxa"/>
          </w:tcPr>
          <w:p>
            <w:pPr>
              <w:pStyle w:val="TableParagraph"/>
              <w:spacing w:line="210" w:lineRule="exact" w:before="9"/>
              <w:ind w:left="169" w:right="1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CNPJ-MF nº 13.370.183/0001-89 Inscr. Municipal nº 149977/01</w:t>
            </w:r>
          </w:p>
        </w:tc>
      </w:tr>
    </w:tbl>
    <w:p>
      <w:pPr>
        <w:pStyle w:val="BodyText"/>
        <w:spacing w:before="7"/>
        <w:rPr>
          <w:rFonts w:ascii="Times New Roman"/>
          <w:sz w:val="19"/>
        </w:rPr>
      </w:pPr>
    </w:p>
    <w:p>
      <w:pPr>
        <w:pStyle w:val="Heading1"/>
        <w:spacing w:before="52"/>
      </w:pPr>
      <w:r>
        <w:rPr/>
        <w:t>Execução dos Contratos de Gestão</w:t>
      </w:r>
    </w:p>
    <w:p>
      <w:pPr>
        <w:pStyle w:val="BodyText"/>
        <w:spacing w:before="5"/>
        <w:rPr>
          <w:b/>
          <w:sz w:val="32"/>
        </w:rPr>
      </w:pPr>
    </w:p>
    <w:p>
      <w:pPr>
        <w:pStyle w:val="BodyText"/>
        <w:spacing w:line="259" w:lineRule="auto"/>
        <w:ind w:left="1298" w:hanging="548"/>
      </w:pPr>
      <w:r>
        <w:rPr/>
        <w:t>A Fundação Hospital Santa Lydia apresenta, conforme previsto no Art. 4°, §2°, da Lei 2.415/2010, rel orçamentária para prestar contas de seus respectivos Contratos de Gestão, referente ao exerc</w:t>
      </w:r>
    </w:p>
    <w:p>
      <w:pPr>
        <w:pStyle w:val="BodyText"/>
        <w:rPr>
          <w:sz w:val="27"/>
        </w:rPr>
      </w:pPr>
    </w:p>
    <w:p>
      <w:pPr>
        <w:pStyle w:val="Heading1"/>
        <w:spacing w:before="1"/>
        <w:ind w:left="187"/>
      </w:pPr>
      <w:r>
        <w:rPr/>
        <w:t>Contrato de Gestão nº 002/2018 - UPA 13 de Maio - Recurso Federal</w:t>
      </w:r>
    </w:p>
    <w:p>
      <w:pPr>
        <w:pStyle w:val="BodyText"/>
        <w:spacing w:before="3"/>
        <w:rPr>
          <w:b/>
          <w:sz w:val="20"/>
        </w:rPr>
      </w:pPr>
    </w:p>
    <w:tbl>
      <w:tblPr>
        <w:tblW w:w="0" w:type="auto"/>
        <w:jc w:val="left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8"/>
        <w:gridCol w:w="2287"/>
        <w:gridCol w:w="2287"/>
      </w:tblGrid>
      <w:tr>
        <w:trPr>
          <w:trHeight w:val="474" w:hRule="atLeast"/>
        </w:trPr>
        <w:tc>
          <w:tcPr>
            <w:tcW w:w="5048" w:type="dxa"/>
          </w:tcPr>
          <w:p>
            <w:pPr>
              <w:pStyle w:val="TableParagraph"/>
              <w:spacing w:line="240" w:lineRule="auto" w:before="104"/>
              <w:ind w:left="16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Categoria de Despesa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 w:before="104"/>
              <w:ind w:left="5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Orçado (2022)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 w:before="104"/>
              <w:ind w:left="46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Realizado (2022)</w:t>
            </w:r>
          </w:p>
        </w:tc>
      </w:tr>
      <w:tr>
        <w:trPr>
          <w:trHeight w:val="227" w:hRule="atLeast"/>
        </w:trPr>
        <w:tc>
          <w:tcPr>
            <w:tcW w:w="5048" w:type="dxa"/>
          </w:tcPr>
          <w:p>
            <w:pPr>
              <w:pStyle w:val="TableParagraph"/>
              <w:ind w:left="35"/>
              <w:jc w:val="left"/>
              <w:rPr>
                <w:rFonts w:ascii="Calibri Light" w:hAnsi="Calibri Light"/>
                <w:b w:val="0"/>
                <w:sz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Gêneros Alimentícios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5048" w:type="dxa"/>
          </w:tcPr>
          <w:p>
            <w:pPr>
              <w:pStyle w:val="TableParagraph"/>
              <w:ind w:left="35"/>
              <w:jc w:val="left"/>
              <w:rPr>
                <w:rFonts w:ascii="Calibri Light"/>
                <w:b w:val="0"/>
                <w:sz w:val="20"/>
              </w:rPr>
            </w:pPr>
            <w:r>
              <w:rPr>
                <w:rFonts w:ascii="Calibri Light"/>
                <w:b w:val="0"/>
                <w:sz w:val="20"/>
              </w:rPr>
              <w:t>Outros Materiais de Consumo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5048" w:type="dxa"/>
          </w:tcPr>
          <w:p>
            <w:pPr>
              <w:pStyle w:val="TableParagraph"/>
              <w:ind w:left="35"/>
              <w:jc w:val="left"/>
              <w:rPr>
                <w:rFonts w:ascii="Calibri Light" w:hAnsi="Calibri Light"/>
                <w:b w:val="0"/>
                <w:sz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Outros Serviços de Terceiros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5048" w:type="dxa"/>
          </w:tcPr>
          <w:p>
            <w:pPr>
              <w:pStyle w:val="TableParagraph"/>
              <w:ind w:left="35"/>
              <w:jc w:val="left"/>
              <w:rPr>
                <w:rFonts w:ascii="Calibri Light"/>
                <w:b w:val="0"/>
                <w:sz w:val="20"/>
              </w:rPr>
            </w:pPr>
            <w:r>
              <w:rPr>
                <w:rFonts w:ascii="Calibri Light"/>
                <w:b w:val="0"/>
                <w:sz w:val="20"/>
              </w:rPr>
              <w:t>Recursos Humanos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5048" w:type="dxa"/>
          </w:tcPr>
          <w:p>
            <w:pPr>
              <w:pStyle w:val="TableParagraph"/>
              <w:ind w:left="35"/>
              <w:jc w:val="left"/>
              <w:rPr>
                <w:rFonts w:ascii="Calibri Light" w:hAnsi="Calibri Light"/>
                <w:b w:val="0"/>
                <w:sz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Serviços de Terceiros Pessoa Jurídica</w:t>
            </w:r>
          </w:p>
        </w:tc>
        <w:tc>
          <w:tcPr>
            <w:tcW w:w="2287" w:type="dxa"/>
          </w:tcPr>
          <w:p>
            <w:pPr>
              <w:pStyle w:val="TableParagraph"/>
              <w:ind w:right="73"/>
              <w:rPr>
                <w:sz w:val="20"/>
              </w:rPr>
            </w:pPr>
            <w:r>
              <w:rPr>
                <w:sz w:val="20"/>
              </w:rPr>
              <w:t>6.000.000,00</w:t>
            </w:r>
          </w:p>
        </w:tc>
        <w:tc>
          <w:tcPr>
            <w:tcW w:w="2287" w:type="dxa"/>
          </w:tcPr>
          <w:p>
            <w:pPr>
              <w:pStyle w:val="TableParagraph"/>
              <w:ind w:right="72"/>
              <w:rPr>
                <w:sz w:val="20"/>
              </w:rPr>
            </w:pPr>
            <w:r>
              <w:rPr>
                <w:sz w:val="20"/>
              </w:rPr>
              <w:t>5.728.673,00</w:t>
            </w:r>
          </w:p>
        </w:tc>
      </w:tr>
      <w:tr>
        <w:trPr>
          <w:trHeight w:val="227" w:hRule="atLeast"/>
        </w:trPr>
        <w:tc>
          <w:tcPr>
            <w:tcW w:w="5048" w:type="dxa"/>
          </w:tcPr>
          <w:p>
            <w:pPr>
              <w:pStyle w:val="TableParagraph"/>
              <w:ind w:left="35"/>
              <w:jc w:val="left"/>
              <w:rPr>
                <w:rFonts w:ascii="Calibri Light" w:hAnsi="Calibri Light"/>
                <w:b w:val="0"/>
                <w:sz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Locação de Equipamentos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5048" w:type="dxa"/>
          </w:tcPr>
          <w:p>
            <w:pPr>
              <w:pStyle w:val="TableParagraph"/>
              <w:spacing w:line="208" w:lineRule="exact"/>
              <w:ind w:left="35"/>
              <w:jc w:val="left"/>
              <w:rPr>
                <w:rFonts w:ascii="Calibri Light" w:hAnsi="Calibri Light"/>
                <w:b w:val="0"/>
                <w:sz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Utilidades Públicas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5048" w:type="dxa"/>
          </w:tcPr>
          <w:p>
            <w:pPr>
              <w:pStyle w:val="TableParagraph"/>
              <w:ind w:left="35"/>
              <w:jc w:val="left"/>
              <w:rPr>
                <w:rFonts w:ascii="Calibri Light" w:hAnsi="Calibri Light"/>
                <w:b w:val="0"/>
                <w:sz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Laboratório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5048" w:type="dxa"/>
          </w:tcPr>
          <w:p>
            <w:pPr>
              <w:pStyle w:val="TableParagraph"/>
              <w:ind w:left="35"/>
              <w:jc w:val="left"/>
              <w:rPr>
                <w:rFonts w:ascii="Calibri Light" w:hAnsi="Calibri Light"/>
                <w:b w:val="0"/>
                <w:sz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Serviços de Apoio e Compartilhados da FHSL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5048" w:type="dxa"/>
          </w:tcPr>
          <w:p>
            <w:pPr>
              <w:pStyle w:val="TableParagraph"/>
              <w:ind w:left="35"/>
              <w:jc w:val="left"/>
              <w:rPr>
                <w:rFonts w:ascii="Calibri Light"/>
                <w:b w:val="0"/>
                <w:sz w:val="20"/>
              </w:rPr>
            </w:pPr>
            <w:r>
              <w:rPr>
                <w:rFonts w:ascii="Calibri Light"/>
                <w:b w:val="0"/>
                <w:sz w:val="20"/>
              </w:rPr>
              <w:t>Outras Despesas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5048" w:type="dxa"/>
          </w:tcPr>
          <w:p>
            <w:pPr>
              <w:pStyle w:val="TableParagraph"/>
              <w:ind w:left="35"/>
              <w:jc w:val="left"/>
              <w:rPr>
                <w:rFonts w:ascii="Calibri Light" w:hAnsi="Calibri Light"/>
                <w:b w:val="0"/>
                <w:sz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Itens não previstos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8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5048" w:type="dxa"/>
          </w:tcPr>
          <w:p>
            <w:pPr>
              <w:pStyle w:val="TableParagraph"/>
              <w:ind w:left="35"/>
              <w:jc w:val="left"/>
              <w:rPr>
                <w:rFonts w:ascii="Calibri Light"/>
                <w:b w:val="0"/>
                <w:sz w:val="20"/>
              </w:rPr>
            </w:pPr>
            <w:r>
              <w:rPr>
                <w:rFonts w:ascii="Calibri Light"/>
                <w:b w:val="0"/>
                <w:sz w:val="20"/>
              </w:rPr>
              <w:t>TOTAL</w:t>
            </w:r>
          </w:p>
        </w:tc>
        <w:tc>
          <w:tcPr>
            <w:tcW w:w="2287" w:type="dxa"/>
          </w:tcPr>
          <w:p>
            <w:pPr>
              <w:pStyle w:val="TableParagraph"/>
              <w:ind w:right="73"/>
              <w:rPr>
                <w:sz w:val="20"/>
              </w:rPr>
            </w:pPr>
            <w:r>
              <w:rPr>
                <w:sz w:val="20"/>
              </w:rPr>
              <w:t>6.000.000,00</w:t>
            </w:r>
          </w:p>
        </w:tc>
        <w:tc>
          <w:tcPr>
            <w:tcW w:w="2287" w:type="dxa"/>
          </w:tcPr>
          <w:p>
            <w:pPr>
              <w:pStyle w:val="TableParagraph"/>
              <w:ind w:right="72"/>
              <w:rPr>
                <w:sz w:val="20"/>
              </w:rPr>
            </w:pPr>
            <w:r>
              <w:rPr>
                <w:sz w:val="20"/>
              </w:rPr>
              <w:t>5.728.673,00</w:t>
            </w:r>
          </w:p>
        </w:tc>
      </w:tr>
    </w:tbl>
    <w:p>
      <w:pPr>
        <w:pStyle w:val="BodyText"/>
        <w:spacing w:before="7"/>
        <w:rPr>
          <w:b/>
          <w:sz w:val="19"/>
        </w:rPr>
      </w:pPr>
    </w:p>
    <w:p>
      <w:pPr>
        <w:spacing w:before="0"/>
        <w:ind w:left="187" w:right="0" w:firstLine="0"/>
        <w:jc w:val="left"/>
        <w:rPr>
          <w:b/>
          <w:sz w:val="24"/>
        </w:rPr>
      </w:pPr>
      <w:r>
        <w:rPr>
          <w:b/>
          <w:sz w:val="24"/>
        </w:rPr>
        <w:t>Contrato de Gestão nº 002/2018 - UPA 13 de Maio - Recurso Municipal</w:t>
      </w:r>
    </w:p>
    <w:p>
      <w:pPr>
        <w:pStyle w:val="BodyText"/>
        <w:spacing w:before="3"/>
        <w:rPr>
          <w:b/>
          <w:sz w:val="20"/>
        </w:rPr>
      </w:pPr>
    </w:p>
    <w:tbl>
      <w:tblPr>
        <w:tblW w:w="0" w:type="auto"/>
        <w:jc w:val="left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8"/>
        <w:gridCol w:w="2287"/>
        <w:gridCol w:w="2287"/>
      </w:tblGrid>
      <w:tr>
        <w:trPr>
          <w:trHeight w:val="474" w:hRule="atLeast"/>
        </w:trPr>
        <w:tc>
          <w:tcPr>
            <w:tcW w:w="5048" w:type="dxa"/>
          </w:tcPr>
          <w:p>
            <w:pPr>
              <w:pStyle w:val="TableParagraph"/>
              <w:spacing w:line="240" w:lineRule="auto" w:before="104"/>
              <w:ind w:left="16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Categoria de Despesa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 w:before="104"/>
              <w:ind w:left="5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Orçado (2022)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 w:before="104"/>
              <w:ind w:left="46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Realizado (2022)</w:t>
            </w:r>
          </w:p>
        </w:tc>
      </w:tr>
      <w:tr>
        <w:trPr>
          <w:trHeight w:val="227" w:hRule="atLeast"/>
        </w:trPr>
        <w:tc>
          <w:tcPr>
            <w:tcW w:w="5048" w:type="dxa"/>
          </w:tcPr>
          <w:p>
            <w:pPr>
              <w:pStyle w:val="TableParagraph"/>
              <w:ind w:left="35"/>
              <w:jc w:val="left"/>
              <w:rPr>
                <w:rFonts w:ascii="Calibri Light" w:hAnsi="Calibri Light"/>
                <w:b w:val="0"/>
                <w:sz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Gêneros Alimentícios</w:t>
            </w:r>
          </w:p>
        </w:tc>
        <w:tc>
          <w:tcPr>
            <w:tcW w:w="2287" w:type="dxa"/>
          </w:tcPr>
          <w:p>
            <w:pPr>
              <w:pStyle w:val="TableParagraph"/>
              <w:ind w:right="73"/>
              <w:rPr>
                <w:sz w:val="20"/>
              </w:rPr>
            </w:pPr>
            <w:r>
              <w:rPr>
                <w:sz w:val="20"/>
              </w:rPr>
              <w:t>120.000,00</w:t>
            </w:r>
          </w:p>
        </w:tc>
        <w:tc>
          <w:tcPr>
            <w:tcW w:w="2287" w:type="dxa"/>
          </w:tcPr>
          <w:p>
            <w:pPr>
              <w:pStyle w:val="TableParagraph"/>
              <w:ind w:right="72"/>
              <w:rPr>
                <w:sz w:val="20"/>
              </w:rPr>
            </w:pPr>
            <w:r>
              <w:rPr>
                <w:sz w:val="20"/>
              </w:rPr>
              <w:t>54.841,20</w:t>
            </w:r>
          </w:p>
        </w:tc>
      </w:tr>
      <w:tr>
        <w:trPr>
          <w:trHeight w:val="227" w:hRule="atLeast"/>
        </w:trPr>
        <w:tc>
          <w:tcPr>
            <w:tcW w:w="5048" w:type="dxa"/>
          </w:tcPr>
          <w:p>
            <w:pPr>
              <w:pStyle w:val="TableParagraph"/>
              <w:ind w:left="35"/>
              <w:jc w:val="left"/>
              <w:rPr>
                <w:rFonts w:ascii="Calibri Light"/>
                <w:b w:val="0"/>
                <w:sz w:val="20"/>
              </w:rPr>
            </w:pPr>
            <w:r>
              <w:rPr>
                <w:rFonts w:ascii="Calibri Light"/>
                <w:b w:val="0"/>
                <w:sz w:val="20"/>
              </w:rPr>
              <w:t>Outros Materiais de Consumo</w:t>
            </w:r>
          </w:p>
        </w:tc>
        <w:tc>
          <w:tcPr>
            <w:tcW w:w="2287" w:type="dxa"/>
          </w:tcPr>
          <w:p>
            <w:pPr>
              <w:pStyle w:val="TableParagraph"/>
              <w:ind w:right="73"/>
              <w:rPr>
                <w:sz w:val="20"/>
              </w:rPr>
            </w:pPr>
            <w:r>
              <w:rPr>
                <w:sz w:val="20"/>
              </w:rPr>
              <w:t>2.274.044,68</w:t>
            </w:r>
          </w:p>
        </w:tc>
        <w:tc>
          <w:tcPr>
            <w:tcW w:w="2287" w:type="dxa"/>
          </w:tcPr>
          <w:p>
            <w:pPr>
              <w:pStyle w:val="TableParagraph"/>
              <w:ind w:right="72"/>
              <w:rPr>
                <w:sz w:val="20"/>
              </w:rPr>
            </w:pPr>
            <w:r>
              <w:rPr>
                <w:sz w:val="20"/>
              </w:rPr>
              <w:t>2.795.105,88</w:t>
            </w:r>
          </w:p>
        </w:tc>
      </w:tr>
      <w:tr>
        <w:trPr>
          <w:trHeight w:val="227" w:hRule="atLeast"/>
        </w:trPr>
        <w:tc>
          <w:tcPr>
            <w:tcW w:w="5048" w:type="dxa"/>
          </w:tcPr>
          <w:p>
            <w:pPr>
              <w:pStyle w:val="TableParagraph"/>
              <w:spacing w:line="208" w:lineRule="exact"/>
              <w:ind w:left="35"/>
              <w:jc w:val="left"/>
              <w:rPr>
                <w:rFonts w:ascii="Calibri Light" w:hAnsi="Calibri Light"/>
                <w:b w:val="0"/>
                <w:sz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Outros Serviços de Terceiros</w:t>
            </w:r>
          </w:p>
        </w:tc>
        <w:tc>
          <w:tcPr>
            <w:tcW w:w="2287" w:type="dxa"/>
          </w:tcPr>
          <w:p>
            <w:pPr>
              <w:pStyle w:val="TableParagraph"/>
              <w:spacing w:line="208" w:lineRule="exact"/>
              <w:ind w:right="73"/>
              <w:rPr>
                <w:sz w:val="20"/>
              </w:rPr>
            </w:pPr>
            <w:r>
              <w:rPr>
                <w:sz w:val="20"/>
              </w:rPr>
              <w:t>2.202.000,00</w:t>
            </w:r>
          </w:p>
        </w:tc>
        <w:tc>
          <w:tcPr>
            <w:tcW w:w="2287" w:type="dxa"/>
          </w:tcPr>
          <w:p>
            <w:pPr>
              <w:pStyle w:val="TableParagraph"/>
              <w:spacing w:line="208" w:lineRule="exact"/>
              <w:ind w:right="72"/>
              <w:rPr>
                <w:sz w:val="20"/>
              </w:rPr>
            </w:pPr>
            <w:r>
              <w:rPr>
                <w:sz w:val="20"/>
              </w:rPr>
              <w:t>1.856.320,79</w:t>
            </w:r>
          </w:p>
        </w:tc>
      </w:tr>
      <w:tr>
        <w:trPr>
          <w:trHeight w:val="227" w:hRule="atLeast"/>
        </w:trPr>
        <w:tc>
          <w:tcPr>
            <w:tcW w:w="5048" w:type="dxa"/>
          </w:tcPr>
          <w:p>
            <w:pPr>
              <w:pStyle w:val="TableParagraph"/>
              <w:ind w:left="35"/>
              <w:jc w:val="left"/>
              <w:rPr>
                <w:rFonts w:ascii="Calibri Light"/>
                <w:b w:val="0"/>
                <w:sz w:val="20"/>
              </w:rPr>
            </w:pPr>
            <w:r>
              <w:rPr>
                <w:rFonts w:ascii="Calibri Light"/>
                <w:b w:val="0"/>
                <w:sz w:val="20"/>
              </w:rPr>
              <w:t>Recursos Humanos</w:t>
            </w:r>
          </w:p>
        </w:tc>
        <w:tc>
          <w:tcPr>
            <w:tcW w:w="2287" w:type="dxa"/>
          </w:tcPr>
          <w:p>
            <w:pPr>
              <w:pStyle w:val="TableParagraph"/>
              <w:ind w:right="73"/>
              <w:rPr>
                <w:sz w:val="20"/>
              </w:rPr>
            </w:pPr>
            <w:r>
              <w:rPr>
                <w:sz w:val="20"/>
              </w:rPr>
              <w:t>9.026.361,19</w:t>
            </w:r>
          </w:p>
        </w:tc>
        <w:tc>
          <w:tcPr>
            <w:tcW w:w="2287" w:type="dxa"/>
          </w:tcPr>
          <w:p>
            <w:pPr>
              <w:pStyle w:val="TableParagraph"/>
              <w:ind w:right="72"/>
              <w:rPr>
                <w:sz w:val="20"/>
              </w:rPr>
            </w:pPr>
            <w:r>
              <w:rPr>
                <w:sz w:val="20"/>
              </w:rPr>
              <w:t>9.744.389,75</w:t>
            </w:r>
          </w:p>
        </w:tc>
      </w:tr>
      <w:tr>
        <w:trPr>
          <w:trHeight w:val="227" w:hRule="atLeast"/>
        </w:trPr>
        <w:tc>
          <w:tcPr>
            <w:tcW w:w="5048" w:type="dxa"/>
          </w:tcPr>
          <w:p>
            <w:pPr>
              <w:pStyle w:val="TableParagraph"/>
              <w:ind w:left="35"/>
              <w:jc w:val="left"/>
              <w:rPr>
                <w:rFonts w:ascii="Calibri Light" w:hAnsi="Calibri Light"/>
                <w:b w:val="0"/>
                <w:sz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Serviços de Terceiros Pessoa Jurídica</w:t>
            </w:r>
          </w:p>
        </w:tc>
        <w:tc>
          <w:tcPr>
            <w:tcW w:w="2287" w:type="dxa"/>
          </w:tcPr>
          <w:p>
            <w:pPr>
              <w:pStyle w:val="TableParagraph"/>
              <w:ind w:right="73"/>
              <w:rPr>
                <w:sz w:val="20"/>
              </w:rPr>
            </w:pPr>
            <w:r>
              <w:rPr>
                <w:sz w:val="20"/>
              </w:rPr>
              <w:t>3.299.156,55</w:t>
            </w:r>
          </w:p>
        </w:tc>
        <w:tc>
          <w:tcPr>
            <w:tcW w:w="2287" w:type="dxa"/>
          </w:tcPr>
          <w:p>
            <w:pPr>
              <w:pStyle w:val="TableParagraph"/>
              <w:ind w:right="72"/>
              <w:rPr>
                <w:sz w:val="20"/>
              </w:rPr>
            </w:pPr>
            <w:r>
              <w:rPr>
                <w:sz w:val="20"/>
              </w:rPr>
              <w:t>1.236.799,21</w:t>
            </w:r>
          </w:p>
        </w:tc>
      </w:tr>
      <w:tr>
        <w:trPr>
          <w:trHeight w:val="227" w:hRule="atLeast"/>
        </w:trPr>
        <w:tc>
          <w:tcPr>
            <w:tcW w:w="5048" w:type="dxa"/>
          </w:tcPr>
          <w:p>
            <w:pPr>
              <w:pStyle w:val="TableParagraph"/>
              <w:ind w:left="35"/>
              <w:jc w:val="left"/>
              <w:rPr>
                <w:rFonts w:ascii="Calibri Light" w:hAnsi="Calibri Light"/>
                <w:b w:val="0"/>
                <w:sz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Locação de Equipamentos</w:t>
            </w:r>
          </w:p>
        </w:tc>
        <w:tc>
          <w:tcPr>
            <w:tcW w:w="2287" w:type="dxa"/>
          </w:tcPr>
          <w:p>
            <w:pPr>
              <w:pStyle w:val="TableParagraph"/>
              <w:ind w:right="73"/>
              <w:rPr>
                <w:sz w:val="20"/>
              </w:rPr>
            </w:pPr>
            <w:r>
              <w:rPr>
                <w:sz w:val="20"/>
              </w:rPr>
              <w:t>486.000,00</w:t>
            </w:r>
          </w:p>
        </w:tc>
        <w:tc>
          <w:tcPr>
            <w:tcW w:w="2287" w:type="dxa"/>
          </w:tcPr>
          <w:p>
            <w:pPr>
              <w:pStyle w:val="TableParagraph"/>
              <w:ind w:right="72"/>
              <w:rPr>
                <w:sz w:val="20"/>
              </w:rPr>
            </w:pPr>
            <w:r>
              <w:rPr>
                <w:sz w:val="20"/>
              </w:rPr>
              <w:t>501.709,92</w:t>
            </w:r>
          </w:p>
        </w:tc>
      </w:tr>
      <w:tr>
        <w:trPr>
          <w:trHeight w:val="227" w:hRule="atLeast"/>
        </w:trPr>
        <w:tc>
          <w:tcPr>
            <w:tcW w:w="5048" w:type="dxa"/>
          </w:tcPr>
          <w:p>
            <w:pPr>
              <w:pStyle w:val="TableParagraph"/>
              <w:ind w:left="35"/>
              <w:jc w:val="left"/>
              <w:rPr>
                <w:rFonts w:ascii="Calibri Light" w:hAnsi="Calibri Light"/>
                <w:b w:val="0"/>
                <w:sz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Utilidades Públicas</w:t>
            </w:r>
          </w:p>
        </w:tc>
        <w:tc>
          <w:tcPr>
            <w:tcW w:w="2287" w:type="dxa"/>
          </w:tcPr>
          <w:p>
            <w:pPr>
              <w:pStyle w:val="TableParagraph"/>
              <w:ind w:right="73"/>
              <w:rPr>
                <w:sz w:val="20"/>
              </w:rPr>
            </w:pPr>
            <w:r>
              <w:rPr>
                <w:sz w:val="20"/>
              </w:rPr>
              <w:t>204.000,00</w:t>
            </w:r>
          </w:p>
        </w:tc>
        <w:tc>
          <w:tcPr>
            <w:tcW w:w="2287" w:type="dxa"/>
          </w:tcPr>
          <w:p>
            <w:pPr>
              <w:pStyle w:val="TableParagraph"/>
              <w:ind w:right="72"/>
              <w:rPr>
                <w:sz w:val="20"/>
              </w:rPr>
            </w:pPr>
            <w:r>
              <w:rPr>
                <w:sz w:val="20"/>
              </w:rPr>
              <w:t>587.661,85</w:t>
            </w:r>
          </w:p>
        </w:tc>
      </w:tr>
      <w:tr>
        <w:trPr>
          <w:trHeight w:val="227" w:hRule="atLeast"/>
        </w:trPr>
        <w:tc>
          <w:tcPr>
            <w:tcW w:w="5048" w:type="dxa"/>
          </w:tcPr>
          <w:p>
            <w:pPr>
              <w:pStyle w:val="TableParagraph"/>
              <w:ind w:left="35"/>
              <w:jc w:val="left"/>
              <w:rPr>
                <w:rFonts w:ascii="Calibri Light" w:hAnsi="Calibri Light"/>
                <w:b w:val="0"/>
                <w:sz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Laboratório</w:t>
            </w:r>
          </w:p>
        </w:tc>
        <w:tc>
          <w:tcPr>
            <w:tcW w:w="2287" w:type="dxa"/>
          </w:tcPr>
          <w:p>
            <w:pPr>
              <w:pStyle w:val="TableParagraph"/>
              <w:ind w:right="73"/>
              <w:rPr>
                <w:sz w:val="20"/>
              </w:rPr>
            </w:pPr>
            <w:r>
              <w:rPr>
                <w:sz w:val="20"/>
              </w:rPr>
              <w:t>377.915,52</w:t>
            </w:r>
          </w:p>
        </w:tc>
        <w:tc>
          <w:tcPr>
            <w:tcW w:w="2287" w:type="dxa"/>
          </w:tcPr>
          <w:p>
            <w:pPr>
              <w:pStyle w:val="TableParagraph"/>
              <w:ind w:right="72"/>
              <w:rPr>
                <w:sz w:val="20"/>
              </w:rPr>
            </w:pPr>
            <w:r>
              <w:rPr>
                <w:sz w:val="20"/>
              </w:rPr>
              <w:t>181.941,78</w:t>
            </w:r>
          </w:p>
        </w:tc>
      </w:tr>
      <w:tr>
        <w:trPr>
          <w:trHeight w:val="227" w:hRule="atLeast"/>
        </w:trPr>
        <w:tc>
          <w:tcPr>
            <w:tcW w:w="5048" w:type="dxa"/>
          </w:tcPr>
          <w:p>
            <w:pPr>
              <w:pStyle w:val="TableParagraph"/>
              <w:ind w:left="35"/>
              <w:jc w:val="left"/>
              <w:rPr>
                <w:rFonts w:ascii="Calibri Light" w:hAnsi="Calibri Light"/>
                <w:b w:val="0"/>
                <w:sz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Serviços de Apoio e Compartilhados da FHSL</w:t>
            </w:r>
          </w:p>
        </w:tc>
        <w:tc>
          <w:tcPr>
            <w:tcW w:w="2287" w:type="dxa"/>
          </w:tcPr>
          <w:p>
            <w:pPr>
              <w:pStyle w:val="TableParagraph"/>
              <w:ind w:right="73"/>
              <w:rPr>
                <w:sz w:val="20"/>
              </w:rPr>
            </w:pPr>
            <w:r>
              <w:rPr>
                <w:sz w:val="20"/>
              </w:rPr>
              <w:t>1.704.017,80</w:t>
            </w:r>
          </w:p>
        </w:tc>
        <w:tc>
          <w:tcPr>
            <w:tcW w:w="2287" w:type="dxa"/>
          </w:tcPr>
          <w:p>
            <w:pPr>
              <w:pStyle w:val="TableParagraph"/>
              <w:ind w:right="72"/>
              <w:rPr>
                <w:sz w:val="20"/>
              </w:rPr>
            </w:pPr>
            <w:r>
              <w:rPr>
                <w:sz w:val="20"/>
              </w:rPr>
              <w:t>3.291.583,95</w:t>
            </w:r>
          </w:p>
        </w:tc>
      </w:tr>
      <w:tr>
        <w:trPr>
          <w:trHeight w:val="227" w:hRule="atLeast"/>
        </w:trPr>
        <w:tc>
          <w:tcPr>
            <w:tcW w:w="5048" w:type="dxa"/>
          </w:tcPr>
          <w:p>
            <w:pPr>
              <w:pStyle w:val="TableParagraph"/>
              <w:ind w:left="35"/>
              <w:jc w:val="left"/>
              <w:rPr>
                <w:rFonts w:ascii="Calibri Light"/>
                <w:b w:val="0"/>
                <w:sz w:val="20"/>
              </w:rPr>
            </w:pPr>
            <w:r>
              <w:rPr>
                <w:rFonts w:ascii="Calibri Light"/>
                <w:b w:val="0"/>
                <w:sz w:val="20"/>
              </w:rPr>
              <w:t>Outras Despesas</w:t>
            </w:r>
          </w:p>
        </w:tc>
        <w:tc>
          <w:tcPr>
            <w:tcW w:w="2287" w:type="dxa"/>
          </w:tcPr>
          <w:p>
            <w:pPr>
              <w:pStyle w:val="TableParagraph"/>
              <w:ind w:right="73"/>
              <w:rPr>
                <w:sz w:val="20"/>
              </w:rPr>
            </w:pPr>
            <w:r>
              <w:rPr>
                <w:sz w:val="20"/>
              </w:rPr>
              <w:t>42.000,00</w:t>
            </w:r>
          </w:p>
        </w:tc>
        <w:tc>
          <w:tcPr>
            <w:tcW w:w="2287" w:type="dxa"/>
          </w:tcPr>
          <w:p>
            <w:pPr>
              <w:pStyle w:val="TableParagraph"/>
              <w:ind w:right="72"/>
              <w:rPr>
                <w:sz w:val="20"/>
              </w:rPr>
            </w:pPr>
            <w:r>
              <w:rPr>
                <w:w w:val="95"/>
                <w:sz w:val="20"/>
              </w:rPr>
              <w:t>316,60</w:t>
            </w:r>
          </w:p>
        </w:tc>
      </w:tr>
      <w:tr>
        <w:trPr>
          <w:trHeight w:val="227" w:hRule="atLeast"/>
        </w:trPr>
        <w:tc>
          <w:tcPr>
            <w:tcW w:w="5048" w:type="dxa"/>
          </w:tcPr>
          <w:p>
            <w:pPr>
              <w:pStyle w:val="TableParagraph"/>
              <w:ind w:left="35"/>
              <w:jc w:val="left"/>
              <w:rPr>
                <w:rFonts w:ascii="Calibri Light" w:hAnsi="Calibri Light"/>
                <w:b w:val="0"/>
                <w:sz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Itens não previstos</w:t>
            </w:r>
          </w:p>
        </w:tc>
        <w:tc>
          <w:tcPr>
            <w:tcW w:w="2287" w:type="dxa"/>
          </w:tcPr>
          <w:p>
            <w:pPr>
              <w:pStyle w:val="TableParagraph"/>
              <w:ind w:right="27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287" w:type="dxa"/>
          </w:tcPr>
          <w:p>
            <w:pPr>
              <w:pStyle w:val="TableParagraph"/>
              <w:ind w:right="72"/>
              <w:rPr>
                <w:sz w:val="20"/>
              </w:rPr>
            </w:pPr>
            <w:r>
              <w:rPr>
                <w:sz w:val="20"/>
              </w:rPr>
              <w:t>14.210,00</w:t>
            </w:r>
          </w:p>
        </w:tc>
      </w:tr>
      <w:tr>
        <w:trPr>
          <w:trHeight w:val="227" w:hRule="atLeast"/>
        </w:trPr>
        <w:tc>
          <w:tcPr>
            <w:tcW w:w="5048" w:type="dxa"/>
          </w:tcPr>
          <w:p>
            <w:pPr>
              <w:pStyle w:val="TableParagraph"/>
              <w:ind w:left="35"/>
              <w:jc w:val="left"/>
              <w:rPr>
                <w:rFonts w:ascii="Calibri Light"/>
                <w:b w:val="0"/>
                <w:sz w:val="20"/>
              </w:rPr>
            </w:pPr>
            <w:r>
              <w:rPr>
                <w:rFonts w:ascii="Calibri Light"/>
                <w:b w:val="0"/>
                <w:sz w:val="20"/>
              </w:rPr>
              <w:t>TOTAL</w:t>
            </w:r>
          </w:p>
        </w:tc>
        <w:tc>
          <w:tcPr>
            <w:tcW w:w="2287" w:type="dxa"/>
          </w:tcPr>
          <w:p>
            <w:pPr>
              <w:pStyle w:val="TableParagraph"/>
              <w:ind w:right="73"/>
              <w:rPr>
                <w:sz w:val="20"/>
              </w:rPr>
            </w:pPr>
            <w:r>
              <w:rPr>
                <w:sz w:val="20"/>
              </w:rPr>
              <w:t>19.735.495,74</w:t>
            </w:r>
          </w:p>
        </w:tc>
        <w:tc>
          <w:tcPr>
            <w:tcW w:w="2287" w:type="dxa"/>
          </w:tcPr>
          <w:p>
            <w:pPr>
              <w:pStyle w:val="TableParagraph"/>
              <w:ind w:right="73"/>
              <w:rPr>
                <w:sz w:val="20"/>
              </w:rPr>
            </w:pPr>
            <w:r>
              <w:rPr>
                <w:sz w:val="20"/>
              </w:rPr>
              <w:t>20.264.880,93</w:t>
            </w:r>
          </w:p>
        </w:tc>
      </w:tr>
    </w:tbl>
    <w:p>
      <w:pPr>
        <w:pStyle w:val="BodyText"/>
        <w:spacing w:before="11"/>
        <w:rPr>
          <w:b/>
          <w:sz w:val="20"/>
        </w:rPr>
      </w:pPr>
    </w:p>
    <w:tbl>
      <w:tblPr>
        <w:tblW w:w="0" w:type="auto"/>
        <w:jc w:val="left"/>
        <w:tblInd w:w="27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1"/>
      </w:tblGrid>
      <w:tr>
        <w:trPr>
          <w:trHeight w:val="422" w:hRule="atLeast"/>
        </w:trPr>
        <w:tc>
          <w:tcPr>
            <w:tcW w:w="6721" w:type="dxa"/>
          </w:tcPr>
          <w:p>
            <w:pPr>
              <w:pStyle w:val="TableParagraph"/>
              <w:spacing w:line="399" w:lineRule="exact"/>
              <w:ind w:left="175" w:right="175"/>
              <w:jc w:val="center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FUNDAÇÃO HOSPITAL SANTA LYDIA</w:t>
            </w:r>
          </w:p>
        </w:tc>
      </w:tr>
      <w:tr>
        <w:trPr>
          <w:trHeight w:val="291" w:hRule="atLeast"/>
        </w:trPr>
        <w:tc>
          <w:tcPr>
            <w:tcW w:w="6721" w:type="dxa"/>
          </w:tcPr>
          <w:p>
            <w:pPr>
              <w:pStyle w:val="TableParagraph"/>
              <w:spacing w:line="240" w:lineRule="auto" w:before="15"/>
              <w:ind w:left="175" w:right="17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Rua Tamandaré, 434 – CEP 14.085-070 - Campos Elíseos</w:t>
            </w:r>
          </w:p>
        </w:tc>
      </w:tr>
      <w:tr>
        <w:trPr>
          <w:trHeight w:val="285" w:hRule="atLeast"/>
        </w:trPr>
        <w:tc>
          <w:tcPr>
            <w:tcW w:w="6721" w:type="dxa"/>
          </w:tcPr>
          <w:p>
            <w:pPr>
              <w:pStyle w:val="TableParagraph"/>
              <w:spacing w:line="251" w:lineRule="exact" w:before="14"/>
              <w:ind w:left="175" w:right="17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Ribeirão Preto – S.P. – Tel.(16) 3605 4848</w:t>
            </w:r>
          </w:p>
        </w:tc>
      </w:tr>
      <w:tr>
        <w:trPr>
          <w:trHeight w:val="238" w:hRule="atLeast"/>
        </w:trPr>
        <w:tc>
          <w:tcPr>
            <w:tcW w:w="6721" w:type="dxa"/>
          </w:tcPr>
          <w:p>
            <w:pPr>
              <w:pStyle w:val="TableParagraph"/>
              <w:spacing w:line="210" w:lineRule="exact" w:before="9"/>
              <w:ind w:left="169" w:right="1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CNPJ-MF nº 13.370.183/0001-89 Inscr. Municipal nº 149977/01</w:t>
            </w:r>
          </w:p>
        </w:tc>
      </w:tr>
    </w:tbl>
    <w:p>
      <w:pPr>
        <w:pStyle w:val="BodyText"/>
        <w:spacing w:before="2"/>
        <w:rPr>
          <w:b/>
        </w:rPr>
      </w:pPr>
    </w:p>
    <w:p>
      <w:pPr>
        <w:spacing w:before="0"/>
        <w:ind w:left="4393" w:right="0" w:firstLine="0"/>
        <w:jc w:val="left"/>
        <w:rPr>
          <w:b/>
          <w:sz w:val="24"/>
        </w:rPr>
      </w:pPr>
      <w:r>
        <w:rPr>
          <w:b/>
          <w:sz w:val="24"/>
        </w:rPr>
        <w:t>Execução dos Contratos de Gestão</w:t>
      </w:r>
    </w:p>
    <w:p>
      <w:pPr>
        <w:pStyle w:val="BodyText"/>
        <w:spacing w:before="5"/>
        <w:rPr>
          <w:b/>
          <w:sz w:val="32"/>
        </w:rPr>
      </w:pPr>
    </w:p>
    <w:p>
      <w:pPr>
        <w:pStyle w:val="BodyText"/>
        <w:spacing w:line="259" w:lineRule="auto"/>
        <w:ind w:left="1298" w:hanging="548"/>
      </w:pPr>
      <w:r>
        <w:rPr/>
        <w:t>A Fundação Hospital Santa Lydia apresenta, conforme previsto no Art. 4°, §2°, da Lei 2.415/2010, rel orçamentária para prestar contas de seus respectivos Contratos de Gestão, referente ao exerc</w:t>
      </w:r>
    </w:p>
    <w:p>
      <w:pPr>
        <w:spacing w:after="0" w:line="259" w:lineRule="auto"/>
        <w:sectPr>
          <w:type w:val="continuous"/>
          <w:pgSz w:w="11910" w:h="16840"/>
          <w:pgMar w:top="1140" w:bottom="280" w:left="600" w:right="1400"/>
        </w:sectPr>
      </w:pPr>
    </w:p>
    <w:p>
      <w:pPr>
        <w:pStyle w:val="BodyText"/>
        <w:spacing w:before="7"/>
        <w:rPr>
          <w:sz w:val="20"/>
        </w:rPr>
      </w:pPr>
    </w:p>
    <w:tbl>
      <w:tblPr>
        <w:tblW w:w="0" w:type="auto"/>
        <w:jc w:val="left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8"/>
        <w:gridCol w:w="2287"/>
        <w:gridCol w:w="2287"/>
      </w:tblGrid>
      <w:tr>
        <w:trPr>
          <w:trHeight w:val="474" w:hRule="atLeast"/>
        </w:trPr>
        <w:tc>
          <w:tcPr>
            <w:tcW w:w="5048" w:type="dxa"/>
          </w:tcPr>
          <w:p>
            <w:pPr>
              <w:pStyle w:val="TableParagraph"/>
              <w:spacing w:line="240" w:lineRule="auto" w:before="104"/>
              <w:ind w:left="16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Categoria de Despesa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 w:before="104"/>
              <w:ind w:left="5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Orçado (2022)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 w:before="104"/>
              <w:ind w:left="46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Realizado (2022)</w:t>
            </w:r>
          </w:p>
        </w:tc>
      </w:tr>
      <w:tr>
        <w:trPr>
          <w:trHeight w:val="227" w:hRule="atLeast"/>
        </w:trPr>
        <w:tc>
          <w:tcPr>
            <w:tcW w:w="5048" w:type="dxa"/>
          </w:tcPr>
          <w:p>
            <w:pPr>
              <w:pStyle w:val="TableParagraph"/>
              <w:ind w:left="35"/>
              <w:jc w:val="left"/>
              <w:rPr>
                <w:rFonts w:ascii="Calibri Light" w:hAnsi="Calibri Light"/>
                <w:b w:val="0"/>
                <w:sz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Material Médico e Hospitalar</w:t>
            </w:r>
          </w:p>
        </w:tc>
        <w:tc>
          <w:tcPr>
            <w:tcW w:w="2287" w:type="dxa"/>
          </w:tcPr>
          <w:p>
            <w:pPr>
              <w:pStyle w:val="TableParagraph"/>
              <w:ind w:right="73"/>
              <w:rPr>
                <w:sz w:val="20"/>
              </w:rPr>
            </w:pPr>
            <w:r>
              <w:rPr>
                <w:sz w:val="20"/>
              </w:rPr>
              <w:t>167.697,00</w:t>
            </w:r>
          </w:p>
        </w:tc>
        <w:tc>
          <w:tcPr>
            <w:tcW w:w="2287" w:type="dxa"/>
          </w:tcPr>
          <w:p>
            <w:pPr>
              <w:pStyle w:val="TableParagraph"/>
              <w:ind w:right="72"/>
              <w:rPr>
                <w:sz w:val="20"/>
              </w:rPr>
            </w:pPr>
            <w:r>
              <w:rPr>
                <w:sz w:val="20"/>
              </w:rPr>
              <w:t>384.678,99</w:t>
            </w:r>
          </w:p>
        </w:tc>
      </w:tr>
      <w:tr>
        <w:trPr>
          <w:trHeight w:val="227" w:hRule="atLeast"/>
        </w:trPr>
        <w:tc>
          <w:tcPr>
            <w:tcW w:w="5048" w:type="dxa"/>
          </w:tcPr>
          <w:p>
            <w:pPr>
              <w:pStyle w:val="TableParagraph"/>
              <w:ind w:left="35"/>
              <w:jc w:val="left"/>
              <w:rPr>
                <w:rFonts w:ascii="Calibri Light"/>
                <w:b w:val="0"/>
                <w:sz w:val="20"/>
              </w:rPr>
            </w:pPr>
            <w:r>
              <w:rPr>
                <w:rFonts w:ascii="Calibri Light"/>
                <w:b w:val="0"/>
                <w:sz w:val="20"/>
              </w:rPr>
              <w:t>Outros Materiais de Consumo</w:t>
            </w:r>
          </w:p>
        </w:tc>
        <w:tc>
          <w:tcPr>
            <w:tcW w:w="2287" w:type="dxa"/>
          </w:tcPr>
          <w:p>
            <w:pPr>
              <w:pStyle w:val="TableParagraph"/>
              <w:ind w:right="73"/>
              <w:rPr>
                <w:sz w:val="20"/>
              </w:rPr>
            </w:pPr>
            <w:r>
              <w:rPr>
                <w:sz w:val="20"/>
              </w:rPr>
              <w:t>32.400,00</w:t>
            </w:r>
          </w:p>
        </w:tc>
        <w:tc>
          <w:tcPr>
            <w:tcW w:w="2287" w:type="dxa"/>
          </w:tcPr>
          <w:p>
            <w:pPr>
              <w:pStyle w:val="TableParagraph"/>
              <w:ind w:right="72"/>
              <w:rPr>
                <w:sz w:val="20"/>
              </w:rPr>
            </w:pPr>
            <w:r>
              <w:rPr>
                <w:sz w:val="20"/>
              </w:rPr>
              <w:t>40.378,00</w:t>
            </w:r>
          </w:p>
        </w:tc>
      </w:tr>
      <w:tr>
        <w:trPr>
          <w:trHeight w:val="227" w:hRule="atLeast"/>
        </w:trPr>
        <w:tc>
          <w:tcPr>
            <w:tcW w:w="5048" w:type="dxa"/>
          </w:tcPr>
          <w:p>
            <w:pPr>
              <w:pStyle w:val="TableParagraph"/>
              <w:ind w:left="35"/>
              <w:jc w:val="left"/>
              <w:rPr>
                <w:rFonts w:ascii="Calibri Light" w:hAnsi="Calibri Light"/>
                <w:b w:val="0"/>
                <w:sz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Outros Serviços de Terceiros</w:t>
            </w:r>
          </w:p>
        </w:tc>
        <w:tc>
          <w:tcPr>
            <w:tcW w:w="2287" w:type="dxa"/>
          </w:tcPr>
          <w:p>
            <w:pPr>
              <w:pStyle w:val="TableParagraph"/>
              <w:ind w:right="73"/>
              <w:rPr>
                <w:sz w:val="20"/>
              </w:rPr>
            </w:pPr>
            <w:r>
              <w:rPr>
                <w:sz w:val="20"/>
              </w:rPr>
              <w:t>683.912,88</w:t>
            </w:r>
          </w:p>
        </w:tc>
        <w:tc>
          <w:tcPr>
            <w:tcW w:w="2287" w:type="dxa"/>
          </w:tcPr>
          <w:p>
            <w:pPr>
              <w:pStyle w:val="TableParagraph"/>
              <w:ind w:right="72"/>
              <w:rPr>
                <w:sz w:val="20"/>
              </w:rPr>
            </w:pPr>
            <w:r>
              <w:rPr>
                <w:sz w:val="20"/>
              </w:rPr>
              <w:t>305.558,42</w:t>
            </w:r>
          </w:p>
        </w:tc>
      </w:tr>
      <w:tr>
        <w:trPr>
          <w:trHeight w:val="227" w:hRule="atLeast"/>
        </w:trPr>
        <w:tc>
          <w:tcPr>
            <w:tcW w:w="5048" w:type="dxa"/>
          </w:tcPr>
          <w:p>
            <w:pPr>
              <w:pStyle w:val="TableParagraph"/>
              <w:ind w:left="35"/>
              <w:jc w:val="left"/>
              <w:rPr>
                <w:rFonts w:ascii="Calibri Light"/>
                <w:b w:val="0"/>
                <w:sz w:val="20"/>
              </w:rPr>
            </w:pPr>
            <w:r>
              <w:rPr>
                <w:rFonts w:ascii="Calibri Light"/>
                <w:b w:val="0"/>
                <w:sz w:val="20"/>
              </w:rPr>
              <w:t>Recursos Humanos</w:t>
            </w:r>
          </w:p>
        </w:tc>
        <w:tc>
          <w:tcPr>
            <w:tcW w:w="2287" w:type="dxa"/>
          </w:tcPr>
          <w:p>
            <w:pPr>
              <w:pStyle w:val="TableParagraph"/>
              <w:ind w:right="73"/>
              <w:rPr>
                <w:sz w:val="20"/>
              </w:rPr>
            </w:pPr>
            <w:r>
              <w:rPr>
                <w:sz w:val="20"/>
              </w:rPr>
              <w:t>2.191.722,90</w:t>
            </w:r>
          </w:p>
        </w:tc>
        <w:tc>
          <w:tcPr>
            <w:tcW w:w="2287" w:type="dxa"/>
          </w:tcPr>
          <w:p>
            <w:pPr>
              <w:pStyle w:val="TableParagraph"/>
              <w:ind w:right="72"/>
              <w:rPr>
                <w:sz w:val="20"/>
              </w:rPr>
            </w:pPr>
            <w:r>
              <w:rPr>
                <w:sz w:val="20"/>
              </w:rPr>
              <w:t>2.335.050,42</w:t>
            </w:r>
          </w:p>
        </w:tc>
      </w:tr>
      <w:tr>
        <w:trPr>
          <w:trHeight w:val="227" w:hRule="atLeast"/>
        </w:trPr>
        <w:tc>
          <w:tcPr>
            <w:tcW w:w="5048" w:type="dxa"/>
          </w:tcPr>
          <w:p>
            <w:pPr>
              <w:pStyle w:val="TableParagraph"/>
              <w:spacing w:line="208" w:lineRule="exact"/>
              <w:ind w:left="35"/>
              <w:jc w:val="left"/>
              <w:rPr>
                <w:rFonts w:ascii="Calibri Light" w:hAnsi="Calibri Light"/>
                <w:b w:val="0"/>
                <w:sz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Médicos</w:t>
            </w:r>
          </w:p>
        </w:tc>
        <w:tc>
          <w:tcPr>
            <w:tcW w:w="2287" w:type="dxa"/>
          </w:tcPr>
          <w:p>
            <w:pPr>
              <w:pStyle w:val="TableParagraph"/>
              <w:spacing w:line="208" w:lineRule="exact"/>
              <w:ind w:right="73"/>
              <w:rPr>
                <w:sz w:val="20"/>
              </w:rPr>
            </w:pPr>
            <w:r>
              <w:rPr>
                <w:sz w:val="20"/>
              </w:rPr>
              <w:t>1.395.331,53</w:t>
            </w:r>
          </w:p>
        </w:tc>
        <w:tc>
          <w:tcPr>
            <w:tcW w:w="2287" w:type="dxa"/>
          </w:tcPr>
          <w:p>
            <w:pPr>
              <w:pStyle w:val="TableParagraph"/>
              <w:spacing w:line="208" w:lineRule="exact"/>
              <w:ind w:right="72"/>
              <w:rPr>
                <w:sz w:val="20"/>
              </w:rPr>
            </w:pPr>
            <w:r>
              <w:rPr>
                <w:sz w:val="20"/>
              </w:rPr>
              <w:t>673.923,01</w:t>
            </w:r>
          </w:p>
        </w:tc>
      </w:tr>
      <w:tr>
        <w:trPr>
          <w:trHeight w:val="227" w:hRule="atLeast"/>
        </w:trPr>
        <w:tc>
          <w:tcPr>
            <w:tcW w:w="5048" w:type="dxa"/>
          </w:tcPr>
          <w:p>
            <w:pPr>
              <w:pStyle w:val="TableParagraph"/>
              <w:ind w:left="35"/>
              <w:jc w:val="left"/>
              <w:rPr>
                <w:rFonts w:ascii="Calibri Light" w:hAnsi="Calibri Light"/>
                <w:b w:val="0"/>
                <w:sz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Locação</w:t>
            </w:r>
          </w:p>
        </w:tc>
        <w:tc>
          <w:tcPr>
            <w:tcW w:w="2287" w:type="dxa"/>
          </w:tcPr>
          <w:p>
            <w:pPr>
              <w:pStyle w:val="TableParagraph"/>
              <w:ind w:right="73"/>
              <w:rPr>
                <w:sz w:val="20"/>
              </w:rPr>
            </w:pPr>
            <w:r>
              <w:rPr>
                <w:sz w:val="20"/>
              </w:rPr>
              <w:t>10.800,00</w:t>
            </w:r>
          </w:p>
        </w:tc>
        <w:tc>
          <w:tcPr>
            <w:tcW w:w="2287" w:type="dxa"/>
          </w:tcPr>
          <w:p>
            <w:pPr>
              <w:pStyle w:val="TableParagraph"/>
              <w:ind w:right="72"/>
              <w:rPr>
                <w:sz w:val="20"/>
              </w:rPr>
            </w:pPr>
            <w:r>
              <w:rPr>
                <w:sz w:val="20"/>
              </w:rPr>
              <w:t>98.316,11</w:t>
            </w:r>
          </w:p>
        </w:tc>
      </w:tr>
      <w:tr>
        <w:trPr>
          <w:trHeight w:val="227" w:hRule="atLeast"/>
        </w:trPr>
        <w:tc>
          <w:tcPr>
            <w:tcW w:w="5048" w:type="dxa"/>
          </w:tcPr>
          <w:p>
            <w:pPr>
              <w:pStyle w:val="TableParagraph"/>
              <w:ind w:left="35"/>
              <w:jc w:val="left"/>
              <w:rPr>
                <w:rFonts w:ascii="Calibri Light" w:hAnsi="Calibri Light"/>
                <w:b w:val="0"/>
                <w:sz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Utilidades Públicas</w:t>
            </w:r>
          </w:p>
        </w:tc>
        <w:tc>
          <w:tcPr>
            <w:tcW w:w="2287" w:type="dxa"/>
          </w:tcPr>
          <w:p>
            <w:pPr>
              <w:pStyle w:val="TableParagraph"/>
              <w:ind w:right="73"/>
              <w:rPr>
                <w:sz w:val="20"/>
              </w:rPr>
            </w:pPr>
            <w:r>
              <w:rPr>
                <w:sz w:val="20"/>
              </w:rPr>
              <w:t>90.000,00</w:t>
            </w:r>
          </w:p>
        </w:tc>
        <w:tc>
          <w:tcPr>
            <w:tcW w:w="2287" w:type="dxa"/>
          </w:tcPr>
          <w:p>
            <w:pPr>
              <w:pStyle w:val="TableParagraph"/>
              <w:ind w:right="72"/>
              <w:rPr>
                <w:sz w:val="20"/>
              </w:rPr>
            </w:pPr>
            <w:r>
              <w:rPr>
                <w:sz w:val="20"/>
              </w:rPr>
              <w:t>54.671,26</w:t>
            </w:r>
          </w:p>
        </w:tc>
      </w:tr>
      <w:tr>
        <w:trPr>
          <w:trHeight w:val="227" w:hRule="atLeast"/>
        </w:trPr>
        <w:tc>
          <w:tcPr>
            <w:tcW w:w="5048" w:type="dxa"/>
          </w:tcPr>
          <w:p>
            <w:pPr>
              <w:pStyle w:val="TableParagraph"/>
              <w:ind w:left="35"/>
              <w:jc w:val="left"/>
              <w:rPr>
                <w:rFonts w:ascii="Calibri Light"/>
                <w:b w:val="0"/>
                <w:sz w:val="20"/>
              </w:rPr>
            </w:pPr>
            <w:r>
              <w:rPr>
                <w:rFonts w:ascii="Calibri Light"/>
                <w:b w:val="0"/>
                <w:sz w:val="20"/>
              </w:rPr>
              <w:t>Apoio Administrativo</w:t>
            </w:r>
          </w:p>
        </w:tc>
        <w:tc>
          <w:tcPr>
            <w:tcW w:w="2287" w:type="dxa"/>
          </w:tcPr>
          <w:p>
            <w:pPr>
              <w:pStyle w:val="TableParagraph"/>
              <w:ind w:right="73"/>
              <w:rPr>
                <w:sz w:val="20"/>
              </w:rPr>
            </w:pPr>
            <w:r>
              <w:rPr>
                <w:sz w:val="20"/>
              </w:rPr>
              <w:t>202.444,51</w:t>
            </w:r>
          </w:p>
        </w:tc>
        <w:tc>
          <w:tcPr>
            <w:tcW w:w="2287" w:type="dxa"/>
          </w:tcPr>
          <w:p>
            <w:pPr>
              <w:pStyle w:val="TableParagraph"/>
              <w:ind w:right="72"/>
              <w:rPr>
                <w:sz w:val="20"/>
              </w:rPr>
            </w:pPr>
            <w:r>
              <w:rPr>
                <w:sz w:val="20"/>
              </w:rPr>
              <w:t>362.561,54</w:t>
            </w:r>
          </w:p>
        </w:tc>
      </w:tr>
      <w:tr>
        <w:trPr>
          <w:trHeight w:val="227" w:hRule="atLeast"/>
        </w:trPr>
        <w:tc>
          <w:tcPr>
            <w:tcW w:w="5048" w:type="dxa"/>
          </w:tcPr>
          <w:p>
            <w:pPr>
              <w:pStyle w:val="TableParagraph"/>
              <w:ind w:left="35"/>
              <w:jc w:val="left"/>
              <w:rPr>
                <w:rFonts w:ascii="Calibri Light" w:hAnsi="Calibri Light"/>
                <w:b w:val="0"/>
                <w:sz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Itens não previstos</w:t>
            </w:r>
          </w:p>
        </w:tc>
        <w:tc>
          <w:tcPr>
            <w:tcW w:w="2287" w:type="dxa"/>
          </w:tcPr>
          <w:p>
            <w:pPr>
              <w:pStyle w:val="TableParagraph"/>
              <w:ind w:right="27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287" w:type="dxa"/>
          </w:tcPr>
          <w:p>
            <w:pPr>
              <w:pStyle w:val="TableParagraph"/>
              <w:ind w:right="72"/>
              <w:rPr>
                <w:sz w:val="20"/>
              </w:rPr>
            </w:pPr>
            <w:r>
              <w:rPr>
                <w:sz w:val="20"/>
              </w:rPr>
              <w:t>44.579,49</w:t>
            </w:r>
          </w:p>
        </w:tc>
      </w:tr>
      <w:tr>
        <w:trPr>
          <w:trHeight w:val="227" w:hRule="atLeast"/>
        </w:trPr>
        <w:tc>
          <w:tcPr>
            <w:tcW w:w="5048" w:type="dxa"/>
          </w:tcPr>
          <w:p>
            <w:pPr>
              <w:pStyle w:val="TableParagraph"/>
              <w:ind w:left="35"/>
              <w:jc w:val="left"/>
              <w:rPr>
                <w:rFonts w:ascii="Calibri Light"/>
                <w:b w:val="0"/>
                <w:sz w:val="20"/>
              </w:rPr>
            </w:pPr>
            <w:r>
              <w:rPr>
                <w:rFonts w:ascii="Calibri Light"/>
                <w:b w:val="0"/>
                <w:sz w:val="20"/>
              </w:rPr>
              <w:t>TOTAL</w:t>
            </w:r>
          </w:p>
        </w:tc>
        <w:tc>
          <w:tcPr>
            <w:tcW w:w="2287" w:type="dxa"/>
          </w:tcPr>
          <w:p>
            <w:pPr>
              <w:pStyle w:val="TableParagraph"/>
              <w:ind w:right="73"/>
              <w:rPr>
                <w:sz w:val="20"/>
              </w:rPr>
            </w:pPr>
            <w:r>
              <w:rPr>
                <w:sz w:val="20"/>
              </w:rPr>
              <w:t>4.774.308,82</w:t>
            </w:r>
          </w:p>
        </w:tc>
        <w:tc>
          <w:tcPr>
            <w:tcW w:w="2287" w:type="dxa"/>
          </w:tcPr>
          <w:p>
            <w:pPr>
              <w:pStyle w:val="TableParagraph"/>
              <w:ind w:right="72"/>
              <w:rPr>
                <w:sz w:val="20"/>
              </w:rPr>
            </w:pPr>
            <w:r>
              <w:rPr>
                <w:sz w:val="20"/>
              </w:rPr>
              <w:t>4.299.717,24</w:t>
            </w:r>
          </w:p>
        </w:tc>
      </w:tr>
    </w:tbl>
    <w:p>
      <w:pPr>
        <w:pStyle w:val="BodyText"/>
        <w:spacing w:before="11"/>
        <w:rPr>
          <w:sz w:val="20"/>
        </w:rPr>
      </w:pPr>
    </w:p>
    <w:tbl>
      <w:tblPr>
        <w:tblW w:w="0" w:type="auto"/>
        <w:jc w:val="left"/>
        <w:tblInd w:w="27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1"/>
      </w:tblGrid>
      <w:tr>
        <w:trPr>
          <w:trHeight w:val="422" w:hRule="atLeast"/>
        </w:trPr>
        <w:tc>
          <w:tcPr>
            <w:tcW w:w="6721" w:type="dxa"/>
          </w:tcPr>
          <w:p>
            <w:pPr>
              <w:pStyle w:val="TableParagraph"/>
              <w:spacing w:line="399" w:lineRule="exact"/>
              <w:ind w:left="175" w:right="175"/>
              <w:jc w:val="center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FUNDAÇÃO HOSPITAL SANTA LYDIA</w:t>
            </w:r>
          </w:p>
        </w:tc>
      </w:tr>
      <w:tr>
        <w:trPr>
          <w:trHeight w:val="290" w:hRule="atLeast"/>
        </w:trPr>
        <w:tc>
          <w:tcPr>
            <w:tcW w:w="6721" w:type="dxa"/>
          </w:tcPr>
          <w:p>
            <w:pPr>
              <w:pStyle w:val="TableParagraph"/>
              <w:spacing w:line="240" w:lineRule="auto" w:before="15"/>
              <w:ind w:left="175" w:right="17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Rua Tamandaré, 434 – CEP 14.085-070 - Campos Elíseos</w:t>
            </w:r>
          </w:p>
        </w:tc>
      </w:tr>
      <w:tr>
        <w:trPr>
          <w:trHeight w:val="285" w:hRule="atLeast"/>
        </w:trPr>
        <w:tc>
          <w:tcPr>
            <w:tcW w:w="6721" w:type="dxa"/>
          </w:tcPr>
          <w:p>
            <w:pPr>
              <w:pStyle w:val="TableParagraph"/>
              <w:spacing w:line="251" w:lineRule="exact" w:before="14"/>
              <w:ind w:left="175" w:right="17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Ribeirão Preto – S.P. – Tel.(16) 3605 4848</w:t>
            </w:r>
          </w:p>
        </w:tc>
      </w:tr>
      <w:tr>
        <w:trPr>
          <w:trHeight w:val="238" w:hRule="atLeast"/>
        </w:trPr>
        <w:tc>
          <w:tcPr>
            <w:tcW w:w="6721" w:type="dxa"/>
          </w:tcPr>
          <w:p>
            <w:pPr>
              <w:pStyle w:val="TableParagraph"/>
              <w:spacing w:line="210" w:lineRule="exact" w:before="9"/>
              <w:ind w:left="169" w:right="1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CNPJ-MF nº 13.370.183/0001-89 Inscr. Municipal nº 149977/01</w:t>
            </w:r>
          </w:p>
        </w:tc>
      </w:tr>
    </w:tbl>
    <w:p>
      <w:pPr>
        <w:pStyle w:val="BodyText"/>
        <w:spacing w:before="12"/>
        <w:rPr>
          <w:sz w:val="17"/>
        </w:rPr>
      </w:pPr>
    </w:p>
    <w:p>
      <w:pPr>
        <w:pStyle w:val="Heading1"/>
        <w:spacing w:before="51"/>
      </w:pPr>
      <w:r>
        <w:rPr/>
        <w:t>Execução dos Contratos de Gestão</w:t>
      </w:r>
    </w:p>
    <w:p>
      <w:pPr>
        <w:pStyle w:val="BodyText"/>
        <w:spacing w:before="5"/>
        <w:rPr>
          <w:b/>
          <w:sz w:val="32"/>
        </w:rPr>
      </w:pPr>
    </w:p>
    <w:p>
      <w:pPr>
        <w:pStyle w:val="BodyText"/>
        <w:spacing w:line="259" w:lineRule="auto"/>
        <w:ind w:left="1298" w:hanging="548"/>
      </w:pPr>
      <w:r>
        <w:rPr/>
        <w:t>A Fundação Hospital Santa Lydia apresenta, conforme previsto no Art. 4°, §2°, da Lei 2.415/2010, rel orçamentária para prestar contas de seus respectivos Contratos de Gestão, referente ao exerc</w:t>
      </w:r>
    </w:p>
    <w:p>
      <w:pPr>
        <w:pStyle w:val="BodyText"/>
        <w:rPr>
          <w:sz w:val="27"/>
        </w:rPr>
      </w:pPr>
    </w:p>
    <w:p>
      <w:pPr>
        <w:pStyle w:val="Heading1"/>
        <w:spacing w:before="1"/>
        <w:ind w:left="187"/>
      </w:pPr>
      <w:r>
        <w:rPr/>
        <w:t>Contrato de Gestão nº 001/2020 - UPA Norte - Recurso Municipal</w:t>
      </w:r>
    </w:p>
    <w:p>
      <w:pPr>
        <w:pStyle w:val="BodyText"/>
        <w:spacing w:before="3"/>
        <w:rPr>
          <w:b/>
          <w:sz w:val="20"/>
        </w:rPr>
      </w:pPr>
    </w:p>
    <w:tbl>
      <w:tblPr>
        <w:tblW w:w="0" w:type="auto"/>
        <w:jc w:val="left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8"/>
        <w:gridCol w:w="2287"/>
        <w:gridCol w:w="2287"/>
      </w:tblGrid>
      <w:tr>
        <w:trPr>
          <w:trHeight w:val="474" w:hRule="atLeast"/>
        </w:trPr>
        <w:tc>
          <w:tcPr>
            <w:tcW w:w="5048" w:type="dxa"/>
          </w:tcPr>
          <w:p>
            <w:pPr>
              <w:pStyle w:val="TableParagraph"/>
              <w:spacing w:line="240" w:lineRule="auto" w:before="104"/>
              <w:ind w:left="16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Categoria de Despesa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 w:before="104"/>
              <w:ind w:left="5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Orçado (2022)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 w:before="104"/>
              <w:ind w:left="46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Realizado (2022)</w:t>
            </w:r>
          </w:p>
        </w:tc>
      </w:tr>
      <w:tr>
        <w:trPr>
          <w:trHeight w:val="227" w:hRule="atLeast"/>
        </w:trPr>
        <w:tc>
          <w:tcPr>
            <w:tcW w:w="5048" w:type="dxa"/>
          </w:tcPr>
          <w:p>
            <w:pPr>
              <w:pStyle w:val="TableParagraph"/>
              <w:ind w:left="35"/>
              <w:jc w:val="left"/>
              <w:rPr>
                <w:rFonts w:ascii="Calibri Light" w:hAnsi="Calibri Light"/>
                <w:b w:val="0"/>
                <w:sz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Gêneros Alimentícios</w:t>
            </w:r>
          </w:p>
        </w:tc>
        <w:tc>
          <w:tcPr>
            <w:tcW w:w="2287" w:type="dxa"/>
          </w:tcPr>
          <w:p>
            <w:pPr>
              <w:pStyle w:val="TableParagraph"/>
              <w:ind w:right="73"/>
              <w:rPr>
                <w:sz w:val="20"/>
              </w:rPr>
            </w:pPr>
            <w:r>
              <w:rPr>
                <w:sz w:val="20"/>
              </w:rPr>
              <w:t>72.000,00</w:t>
            </w:r>
          </w:p>
        </w:tc>
        <w:tc>
          <w:tcPr>
            <w:tcW w:w="2287" w:type="dxa"/>
          </w:tcPr>
          <w:p>
            <w:pPr>
              <w:pStyle w:val="TableParagraph"/>
              <w:ind w:right="72"/>
              <w:rPr>
                <w:sz w:val="20"/>
              </w:rPr>
            </w:pPr>
            <w:r>
              <w:rPr>
                <w:sz w:val="20"/>
              </w:rPr>
              <w:t>43.570,34</w:t>
            </w:r>
          </w:p>
        </w:tc>
      </w:tr>
      <w:tr>
        <w:trPr>
          <w:trHeight w:val="227" w:hRule="atLeast"/>
        </w:trPr>
        <w:tc>
          <w:tcPr>
            <w:tcW w:w="5048" w:type="dxa"/>
          </w:tcPr>
          <w:p>
            <w:pPr>
              <w:pStyle w:val="TableParagraph"/>
              <w:ind w:left="35"/>
              <w:jc w:val="left"/>
              <w:rPr>
                <w:rFonts w:ascii="Calibri Light"/>
                <w:b w:val="0"/>
                <w:sz w:val="20"/>
              </w:rPr>
            </w:pPr>
            <w:r>
              <w:rPr>
                <w:rFonts w:ascii="Calibri Light"/>
                <w:b w:val="0"/>
                <w:sz w:val="20"/>
              </w:rPr>
              <w:t>Outros Materiais de Consumo</w:t>
            </w:r>
          </w:p>
        </w:tc>
        <w:tc>
          <w:tcPr>
            <w:tcW w:w="2287" w:type="dxa"/>
          </w:tcPr>
          <w:p>
            <w:pPr>
              <w:pStyle w:val="TableParagraph"/>
              <w:ind w:right="73"/>
              <w:rPr>
                <w:sz w:val="20"/>
              </w:rPr>
            </w:pPr>
            <w:r>
              <w:rPr>
                <w:sz w:val="20"/>
              </w:rPr>
              <w:t>1.932.822,37</w:t>
            </w:r>
          </w:p>
        </w:tc>
        <w:tc>
          <w:tcPr>
            <w:tcW w:w="2287" w:type="dxa"/>
          </w:tcPr>
          <w:p>
            <w:pPr>
              <w:pStyle w:val="TableParagraph"/>
              <w:ind w:right="72"/>
              <w:rPr>
                <w:sz w:val="20"/>
              </w:rPr>
            </w:pPr>
            <w:r>
              <w:rPr>
                <w:sz w:val="20"/>
              </w:rPr>
              <w:t>2.485.298,80</w:t>
            </w:r>
          </w:p>
        </w:tc>
      </w:tr>
      <w:tr>
        <w:trPr>
          <w:trHeight w:val="227" w:hRule="atLeast"/>
        </w:trPr>
        <w:tc>
          <w:tcPr>
            <w:tcW w:w="5048" w:type="dxa"/>
          </w:tcPr>
          <w:p>
            <w:pPr>
              <w:pStyle w:val="TableParagraph"/>
              <w:ind w:left="35"/>
              <w:jc w:val="left"/>
              <w:rPr>
                <w:rFonts w:ascii="Calibri Light" w:hAnsi="Calibri Light"/>
                <w:b w:val="0"/>
                <w:sz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Outros Serviços de Terceiros</w:t>
            </w:r>
          </w:p>
        </w:tc>
        <w:tc>
          <w:tcPr>
            <w:tcW w:w="2287" w:type="dxa"/>
          </w:tcPr>
          <w:p>
            <w:pPr>
              <w:pStyle w:val="TableParagraph"/>
              <w:ind w:right="73"/>
              <w:rPr>
                <w:sz w:val="20"/>
              </w:rPr>
            </w:pPr>
            <w:r>
              <w:rPr>
                <w:sz w:val="20"/>
              </w:rPr>
              <w:t>2.082.000,00</w:t>
            </w:r>
          </w:p>
        </w:tc>
        <w:tc>
          <w:tcPr>
            <w:tcW w:w="2287" w:type="dxa"/>
          </w:tcPr>
          <w:p>
            <w:pPr>
              <w:pStyle w:val="TableParagraph"/>
              <w:ind w:right="72"/>
              <w:rPr>
                <w:sz w:val="20"/>
              </w:rPr>
            </w:pPr>
            <w:r>
              <w:rPr>
                <w:sz w:val="20"/>
              </w:rPr>
              <w:t>1.677.250,97</w:t>
            </w:r>
          </w:p>
        </w:tc>
      </w:tr>
      <w:tr>
        <w:trPr>
          <w:trHeight w:val="227" w:hRule="atLeast"/>
        </w:trPr>
        <w:tc>
          <w:tcPr>
            <w:tcW w:w="5048" w:type="dxa"/>
          </w:tcPr>
          <w:p>
            <w:pPr>
              <w:pStyle w:val="TableParagraph"/>
              <w:spacing w:line="208" w:lineRule="exact"/>
              <w:ind w:left="35"/>
              <w:jc w:val="left"/>
              <w:rPr>
                <w:rFonts w:ascii="Calibri Light"/>
                <w:b w:val="0"/>
                <w:sz w:val="20"/>
              </w:rPr>
            </w:pPr>
            <w:r>
              <w:rPr>
                <w:rFonts w:ascii="Calibri Light"/>
                <w:b w:val="0"/>
                <w:sz w:val="20"/>
              </w:rPr>
              <w:t>Recursos Humanos</w:t>
            </w:r>
          </w:p>
        </w:tc>
        <w:tc>
          <w:tcPr>
            <w:tcW w:w="2287" w:type="dxa"/>
          </w:tcPr>
          <w:p>
            <w:pPr>
              <w:pStyle w:val="TableParagraph"/>
              <w:spacing w:line="208" w:lineRule="exact"/>
              <w:ind w:right="73"/>
              <w:rPr>
                <w:sz w:val="20"/>
              </w:rPr>
            </w:pPr>
            <w:r>
              <w:rPr>
                <w:sz w:val="20"/>
              </w:rPr>
              <w:t>7.394.121,92</w:t>
            </w:r>
          </w:p>
        </w:tc>
        <w:tc>
          <w:tcPr>
            <w:tcW w:w="2287" w:type="dxa"/>
          </w:tcPr>
          <w:p>
            <w:pPr>
              <w:pStyle w:val="TableParagraph"/>
              <w:spacing w:line="208" w:lineRule="exact"/>
              <w:ind w:right="72"/>
              <w:rPr>
                <w:sz w:val="20"/>
              </w:rPr>
            </w:pPr>
            <w:r>
              <w:rPr>
                <w:sz w:val="20"/>
              </w:rPr>
              <w:t>8.534.953,99</w:t>
            </w:r>
          </w:p>
        </w:tc>
      </w:tr>
      <w:tr>
        <w:trPr>
          <w:trHeight w:val="227" w:hRule="atLeast"/>
        </w:trPr>
        <w:tc>
          <w:tcPr>
            <w:tcW w:w="5048" w:type="dxa"/>
          </w:tcPr>
          <w:p>
            <w:pPr>
              <w:pStyle w:val="TableParagraph"/>
              <w:ind w:left="35"/>
              <w:jc w:val="left"/>
              <w:rPr>
                <w:rFonts w:ascii="Calibri Light" w:hAnsi="Calibri Light"/>
                <w:b w:val="0"/>
                <w:sz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Serviços de Terceiros Pessoa Jurídica</w:t>
            </w:r>
          </w:p>
        </w:tc>
        <w:tc>
          <w:tcPr>
            <w:tcW w:w="2287" w:type="dxa"/>
          </w:tcPr>
          <w:p>
            <w:pPr>
              <w:pStyle w:val="TableParagraph"/>
              <w:ind w:right="73"/>
              <w:rPr>
                <w:sz w:val="20"/>
              </w:rPr>
            </w:pPr>
            <w:r>
              <w:rPr>
                <w:sz w:val="20"/>
              </w:rPr>
              <w:t>9.812.347,63</w:t>
            </w:r>
          </w:p>
        </w:tc>
        <w:tc>
          <w:tcPr>
            <w:tcW w:w="2287" w:type="dxa"/>
          </w:tcPr>
          <w:p>
            <w:pPr>
              <w:pStyle w:val="TableParagraph"/>
              <w:ind w:right="72"/>
              <w:rPr>
                <w:sz w:val="20"/>
              </w:rPr>
            </w:pPr>
            <w:r>
              <w:rPr>
                <w:sz w:val="20"/>
              </w:rPr>
              <w:t>8.049.221,81</w:t>
            </w:r>
          </w:p>
        </w:tc>
      </w:tr>
      <w:tr>
        <w:trPr>
          <w:trHeight w:val="227" w:hRule="atLeast"/>
        </w:trPr>
        <w:tc>
          <w:tcPr>
            <w:tcW w:w="5048" w:type="dxa"/>
          </w:tcPr>
          <w:p>
            <w:pPr>
              <w:pStyle w:val="TableParagraph"/>
              <w:ind w:left="35"/>
              <w:jc w:val="left"/>
              <w:rPr>
                <w:rFonts w:ascii="Calibri Light" w:hAnsi="Calibri Light"/>
                <w:b w:val="0"/>
                <w:sz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Locação de Equipamentos</w:t>
            </w:r>
          </w:p>
        </w:tc>
        <w:tc>
          <w:tcPr>
            <w:tcW w:w="2287" w:type="dxa"/>
          </w:tcPr>
          <w:p>
            <w:pPr>
              <w:pStyle w:val="TableParagraph"/>
              <w:ind w:right="73"/>
              <w:rPr>
                <w:sz w:val="20"/>
              </w:rPr>
            </w:pPr>
            <w:r>
              <w:rPr>
                <w:sz w:val="20"/>
              </w:rPr>
              <w:t>438.000,00</w:t>
            </w:r>
          </w:p>
        </w:tc>
        <w:tc>
          <w:tcPr>
            <w:tcW w:w="2287" w:type="dxa"/>
          </w:tcPr>
          <w:p>
            <w:pPr>
              <w:pStyle w:val="TableParagraph"/>
              <w:ind w:right="72"/>
              <w:rPr>
                <w:sz w:val="20"/>
              </w:rPr>
            </w:pPr>
            <w:r>
              <w:rPr>
                <w:sz w:val="20"/>
              </w:rPr>
              <w:t>412.724,54</w:t>
            </w:r>
          </w:p>
        </w:tc>
      </w:tr>
      <w:tr>
        <w:trPr>
          <w:trHeight w:val="227" w:hRule="atLeast"/>
        </w:trPr>
        <w:tc>
          <w:tcPr>
            <w:tcW w:w="5048" w:type="dxa"/>
          </w:tcPr>
          <w:p>
            <w:pPr>
              <w:pStyle w:val="TableParagraph"/>
              <w:ind w:left="35"/>
              <w:jc w:val="left"/>
              <w:rPr>
                <w:rFonts w:ascii="Calibri Light" w:hAnsi="Calibri Light"/>
                <w:b w:val="0"/>
                <w:sz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Utilidades Públicas</w:t>
            </w:r>
          </w:p>
        </w:tc>
        <w:tc>
          <w:tcPr>
            <w:tcW w:w="2287" w:type="dxa"/>
          </w:tcPr>
          <w:p>
            <w:pPr>
              <w:pStyle w:val="TableParagraph"/>
              <w:ind w:right="73"/>
              <w:rPr>
                <w:sz w:val="20"/>
              </w:rPr>
            </w:pPr>
            <w:r>
              <w:rPr>
                <w:sz w:val="20"/>
              </w:rPr>
              <w:t>391.200,00</w:t>
            </w:r>
          </w:p>
        </w:tc>
        <w:tc>
          <w:tcPr>
            <w:tcW w:w="2287" w:type="dxa"/>
          </w:tcPr>
          <w:p>
            <w:pPr>
              <w:pStyle w:val="TableParagraph"/>
              <w:ind w:right="72"/>
              <w:rPr>
                <w:sz w:val="20"/>
              </w:rPr>
            </w:pPr>
            <w:r>
              <w:rPr>
                <w:sz w:val="20"/>
              </w:rPr>
              <w:t>422.242,00</w:t>
            </w:r>
          </w:p>
        </w:tc>
      </w:tr>
      <w:tr>
        <w:trPr>
          <w:trHeight w:val="227" w:hRule="atLeast"/>
        </w:trPr>
        <w:tc>
          <w:tcPr>
            <w:tcW w:w="5048" w:type="dxa"/>
          </w:tcPr>
          <w:p>
            <w:pPr>
              <w:pStyle w:val="TableParagraph"/>
              <w:ind w:left="35"/>
              <w:jc w:val="left"/>
              <w:rPr>
                <w:rFonts w:ascii="Calibri Light" w:hAnsi="Calibri Light"/>
                <w:b w:val="0"/>
                <w:sz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Laboratório</w:t>
            </w:r>
          </w:p>
        </w:tc>
        <w:tc>
          <w:tcPr>
            <w:tcW w:w="2287" w:type="dxa"/>
          </w:tcPr>
          <w:p>
            <w:pPr>
              <w:pStyle w:val="TableParagraph"/>
              <w:ind w:right="73"/>
              <w:rPr>
                <w:sz w:val="20"/>
              </w:rPr>
            </w:pPr>
            <w:r>
              <w:rPr>
                <w:sz w:val="20"/>
              </w:rPr>
              <w:t>948.000,00</w:t>
            </w:r>
          </w:p>
        </w:tc>
        <w:tc>
          <w:tcPr>
            <w:tcW w:w="2287" w:type="dxa"/>
          </w:tcPr>
          <w:p>
            <w:pPr>
              <w:pStyle w:val="TableParagraph"/>
              <w:ind w:right="72"/>
              <w:rPr>
                <w:sz w:val="20"/>
              </w:rPr>
            </w:pPr>
            <w:r>
              <w:rPr>
                <w:sz w:val="20"/>
              </w:rPr>
              <w:t>300.231,45</w:t>
            </w:r>
          </w:p>
        </w:tc>
      </w:tr>
      <w:tr>
        <w:trPr>
          <w:trHeight w:val="227" w:hRule="atLeast"/>
        </w:trPr>
        <w:tc>
          <w:tcPr>
            <w:tcW w:w="5048" w:type="dxa"/>
          </w:tcPr>
          <w:p>
            <w:pPr>
              <w:pStyle w:val="TableParagraph"/>
              <w:ind w:left="35"/>
              <w:jc w:val="left"/>
              <w:rPr>
                <w:rFonts w:ascii="Calibri Light" w:hAnsi="Calibri Light"/>
                <w:b w:val="0"/>
                <w:sz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Serviços de Apoio e Compartilhados da FHSL</w:t>
            </w:r>
          </w:p>
        </w:tc>
        <w:tc>
          <w:tcPr>
            <w:tcW w:w="2287" w:type="dxa"/>
          </w:tcPr>
          <w:p>
            <w:pPr>
              <w:pStyle w:val="TableParagraph"/>
              <w:ind w:right="73"/>
              <w:rPr>
                <w:sz w:val="20"/>
              </w:rPr>
            </w:pPr>
            <w:r>
              <w:rPr>
                <w:sz w:val="20"/>
              </w:rPr>
              <w:t>1.249.824,02</w:t>
            </w:r>
          </w:p>
        </w:tc>
        <w:tc>
          <w:tcPr>
            <w:tcW w:w="2287" w:type="dxa"/>
          </w:tcPr>
          <w:p>
            <w:pPr>
              <w:pStyle w:val="TableParagraph"/>
              <w:ind w:right="72"/>
              <w:rPr>
                <w:sz w:val="20"/>
              </w:rPr>
            </w:pPr>
            <w:r>
              <w:rPr>
                <w:sz w:val="20"/>
              </w:rPr>
              <w:t>2.868.878,68</w:t>
            </w:r>
          </w:p>
        </w:tc>
      </w:tr>
      <w:tr>
        <w:trPr>
          <w:trHeight w:val="227" w:hRule="atLeast"/>
        </w:trPr>
        <w:tc>
          <w:tcPr>
            <w:tcW w:w="5048" w:type="dxa"/>
          </w:tcPr>
          <w:p>
            <w:pPr>
              <w:pStyle w:val="TableParagraph"/>
              <w:ind w:left="35"/>
              <w:jc w:val="left"/>
              <w:rPr>
                <w:rFonts w:ascii="Calibri Light"/>
                <w:b w:val="0"/>
                <w:sz w:val="20"/>
              </w:rPr>
            </w:pPr>
            <w:r>
              <w:rPr>
                <w:rFonts w:ascii="Calibri Light"/>
                <w:b w:val="0"/>
                <w:sz w:val="20"/>
              </w:rPr>
              <w:t>Outras Despesas</w:t>
            </w:r>
          </w:p>
        </w:tc>
        <w:tc>
          <w:tcPr>
            <w:tcW w:w="2287" w:type="dxa"/>
          </w:tcPr>
          <w:p>
            <w:pPr>
              <w:pStyle w:val="TableParagraph"/>
              <w:ind w:right="73"/>
              <w:rPr>
                <w:sz w:val="20"/>
              </w:rPr>
            </w:pPr>
            <w:r>
              <w:rPr>
                <w:sz w:val="20"/>
              </w:rPr>
              <w:t>42.000,00</w:t>
            </w:r>
          </w:p>
        </w:tc>
        <w:tc>
          <w:tcPr>
            <w:tcW w:w="2287" w:type="dxa"/>
          </w:tcPr>
          <w:p>
            <w:pPr>
              <w:pStyle w:val="TableParagraph"/>
              <w:ind w:right="72"/>
              <w:rPr>
                <w:sz w:val="20"/>
              </w:rPr>
            </w:pPr>
            <w:r>
              <w:rPr>
                <w:sz w:val="20"/>
              </w:rPr>
              <w:t>41.800,96</w:t>
            </w:r>
          </w:p>
        </w:tc>
      </w:tr>
      <w:tr>
        <w:trPr>
          <w:trHeight w:val="227" w:hRule="atLeast"/>
        </w:trPr>
        <w:tc>
          <w:tcPr>
            <w:tcW w:w="5048" w:type="dxa"/>
          </w:tcPr>
          <w:p>
            <w:pPr>
              <w:pStyle w:val="TableParagraph"/>
              <w:ind w:left="35"/>
              <w:jc w:val="left"/>
              <w:rPr>
                <w:rFonts w:ascii="Calibri Light" w:hAnsi="Calibri Light"/>
                <w:b w:val="0"/>
                <w:sz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Itens não previstos</w:t>
            </w:r>
          </w:p>
        </w:tc>
        <w:tc>
          <w:tcPr>
            <w:tcW w:w="2287" w:type="dxa"/>
          </w:tcPr>
          <w:p>
            <w:pPr>
              <w:pStyle w:val="TableParagraph"/>
              <w:ind w:right="27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287" w:type="dxa"/>
          </w:tcPr>
          <w:p>
            <w:pPr>
              <w:pStyle w:val="TableParagraph"/>
              <w:ind w:right="72"/>
              <w:rPr>
                <w:sz w:val="20"/>
              </w:rPr>
            </w:pPr>
            <w:r>
              <w:rPr>
                <w:sz w:val="20"/>
              </w:rPr>
              <w:t>14.210,00</w:t>
            </w:r>
          </w:p>
        </w:tc>
      </w:tr>
      <w:tr>
        <w:trPr>
          <w:trHeight w:val="227" w:hRule="atLeast"/>
        </w:trPr>
        <w:tc>
          <w:tcPr>
            <w:tcW w:w="5048" w:type="dxa"/>
          </w:tcPr>
          <w:p>
            <w:pPr>
              <w:pStyle w:val="TableParagraph"/>
              <w:ind w:left="35"/>
              <w:jc w:val="left"/>
              <w:rPr>
                <w:rFonts w:ascii="Calibri Light"/>
                <w:b w:val="0"/>
                <w:sz w:val="20"/>
              </w:rPr>
            </w:pPr>
            <w:r>
              <w:rPr>
                <w:rFonts w:ascii="Calibri Light"/>
                <w:b w:val="0"/>
                <w:sz w:val="20"/>
              </w:rPr>
              <w:t>TOTAL</w:t>
            </w:r>
          </w:p>
        </w:tc>
        <w:tc>
          <w:tcPr>
            <w:tcW w:w="2287" w:type="dxa"/>
          </w:tcPr>
          <w:p>
            <w:pPr>
              <w:pStyle w:val="TableParagraph"/>
              <w:ind w:right="73"/>
              <w:rPr>
                <w:sz w:val="20"/>
              </w:rPr>
            </w:pPr>
            <w:r>
              <w:rPr>
                <w:sz w:val="20"/>
              </w:rPr>
              <w:t>24.362.315,94</w:t>
            </w:r>
          </w:p>
        </w:tc>
        <w:tc>
          <w:tcPr>
            <w:tcW w:w="2287" w:type="dxa"/>
          </w:tcPr>
          <w:p>
            <w:pPr>
              <w:pStyle w:val="TableParagraph"/>
              <w:ind w:right="73"/>
              <w:rPr>
                <w:sz w:val="20"/>
              </w:rPr>
            </w:pPr>
            <w:r>
              <w:rPr>
                <w:sz w:val="20"/>
              </w:rPr>
              <w:t>24.850.383,54</w:t>
            </w:r>
          </w:p>
        </w:tc>
      </w:tr>
    </w:tbl>
    <w:p>
      <w:pPr>
        <w:pStyle w:val="BodyText"/>
        <w:spacing w:before="11"/>
        <w:rPr>
          <w:b/>
          <w:sz w:val="20"/>
        </w:rPr>
      </w:pPr>
    </w:p>
    <w:tbl>
      <w:tblPr>
        <w:tblW w:w="0" w:type="auto"/>
        <w:jc w:val="left"/>
        <w:tblInd w:w="27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1"/>
      </w:tblGrid>
      <w:tr>
        <w:trPr>
          <w:trHeight w:val="422" w:hRule="atLeast"/>
        </w:trPr>
        <w:tc>
          <w:tcPr>
            <w:tcW w:w="6721" w:type="dxa"/>
          </w:tcPr>
          <w:p>
            <w:pPr>
              <w:pStyle w:val="TableParagraph"/>
              <w:spacing w:line="399" w:lineRule="exact"/>
              <w:ind w:left="175" w:right="175"/>
              <w:jc w:val="center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FUNDAÇÃO HOSPITAL SANTA LYDIA</w:t>
            </w:r>
          </w:p>
        </w:tc>
      </w:tr>
      <w:tr>
        <w:trPr>
          <w:trHeight w:val="291" w:hRule="atLeast"/>
        </w:trPr>
        <w:tc>
          <w:tcPr>
            <w:tcW w:w="6721" w:type="dxa"/>
          </w:tcPr>
          <w:p>
            <w:pPr>
              <w:pStyle w:val="TableParagraph"/>
              <w:spacing w:line="240" w:lineRule="auto" w:before="15"/>
              <w:ind w:left="175" w:right="17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Rua Tamandaré, 434 – CEP 14.085-070 - Campos Elíseos</w:t>
            </w:r>
          </w:p>
        </w:tc>
      </w:tr>
      <w:tr>
        <w:trPr>
          <w:trHeight w:val="285" w:hRule="atLeast"/>
        </w:trPr>
        <w:tc>
          <w:tcPr>
            <w:tcW w:w="6721" w:type="dxa"/>
          </w:tcPr>
          <w:p>
            <w:pPr>
              <w:pStyle w:val="TableParagraph"/>
              <w:spacing w:line="251" w:lineRule="exact" w:before="14"/>
              <w:ind w:left="175" w:right="17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Ribeirão Preto – S.P. – Tel.(16) 3605 4848</w:t>
            </w:r>
          </w:p>
        </w:tc>
      </w:tr>
      <w:tr>
        <w:trPr>
          <w:trHeight w:val="238" w:hRule="atLeast"/>
        </w:trPr>
        <w:tc>
          <w:tcPr>
            <w:tcW w:w="6721" w:type="dxa"/>
          </w:tcPr>
          <w:p>
            <w:pPr>
              <w:pStyle w:val="TableParagraph"/>
              <w:spacing w:line="210" w:lineRule="exact" w:before="9"/>
              <w:ind w:left="169" w:right="1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CNPJ-MF nº 13.370.183/0001-89 Inscr. Municipal nº 149977/01</w:t>
            </w:r>
          </w:p>
        </w:tc>
      </w:tr>
    </w:tbl>
    <w:p>
      <w:pPr>
        <w:pStyle w:val="BodyText"/>
        <w:spacing w:before="2"/>
        <w:rPr>
          <w:b/>
        </w:rPr>
      </w:pPr>
    </w:p>
    <w:p>
      <w:pPr>
        <w:spacing w:before="0"/>
        <w:ind w:left="4393" w:right="0" w:firstLine="0"/>
        <w:jc w:val="left"/>
        <w:rPr>
          <w:b/>
          <w:sz w:val="24"/>
        </w:rPr>
      </w:pPr>
      <w:r>
        <w:rPr>
          <w:b/>
          <w:sz w:val="24"/>
        </w:rPr>
        <w:t>Execução dos Contratos de Gestão</w:t>
      </w:r>
    </w:p>
    <w:p>
      <w:pPr>
        <w:pStyle w:val="BodyText"/>
        <w:spacing w:before="5"/>
        <w:rPr>
          <w:b/>
          <w:sz w:val="32"/>
        </w:rPr>
      </w:pPr>
    </w:p>
    <w:p>
      <w:pPr>
        <w:pStyle w:val="BodyText"/>
        <w:spacing w:line="259" w:lineRule="auto"/>
        <w:ind w:left="1298" w:hanging="548"/>
      </w:pPr>
      <w:r>
        <w:rPr/>
        <w:t>A Fundação Hospital Santa Lydia apresenta, conforme previsto no Art. 4°, §2°, da Lei 2.415/2010, rel orçamentária para prestar contas de seus respectivos Contratos de Gestão, referente ao exerc</w:t>
      </w:r>
    </w:p>
    <w:p>
      <w:pPr>
        <w:spacing w:after="0" w:line="259" w:lineRule="auto"/>
        <w:sectPr>
          <w:headerReference w:type="default" r:id="rId5"/>
          <w:pgSz w:w="11910" w:h="16840"/>
          <w:pgMar w:header="1440" w:footer="0" w:top="1680" w:bottom="280" w:left="600" w:right="1400"/>
        </w:sectPr>
      </w:pPr>
    </w:p>
    <w:p>
      <w:pPr>
        <w:pStyle w:val="BodyText"/>
        <w:spacing w:before="7"/>
        <w:rPr>
          <w:sz w:val="20"/>
        </w:rPr>
      </w:pPr>
    </w:p>
    <w:tbl>
      <w:tblPr>
        <w:tblW w:w="0" w:type="auto"/>
        <w:jc w:val="left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8"/>
        <w:gridCol w:w="2287"/>
        <w:gridCol w:w="2287"/>
      </w:tblGrid>
      <w:tr>
        <w:trPr>
          <w:trHeight w:val="474" w:hRule="atLeast"/>
        </w:trPr>
        <w:tc>
          <w:tcPr>
            <w:tcW w:w="5048" w:type="dxa"/>
          </w:tcPr>
          <w:p>
            <w:pPr>
              <w:pStyle w:val="TableParagraph"/>
              <w:spacing w:line="240" w:lineRule="auto" w:before="104"/>
              <w:ind w:left="16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Categoria de Despesa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 w:before="104"/>
              <w:ind w:left="5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Orçado (2022)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 w:before="104"/>
              <w:ind w:left="46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Realizado (2022)</w:t>
            </w:r>
          </w:p>
        </w:tc>
      </w:tr>
      <w:tr>
        <w:trPr>
          <w:trHeight w:val="227" w:hRule="atLeast"/>
        </w:trPr>
        <w:tc>
          <w:tcPr>
            <w:tcW w:w="5048" w:type="dxa"/>
          </w:tcPr>
          <w:p>
            <w:pPr>
              <w:pStyle w:val="TableParagraph"/>
              <w:ind w:left="35"/>
              <w:jc w:val="left"/>
              <w:rPr>
                <w:rFonts w:ascii="Calibri Light" w:hAnsi="Calibri Light"/>
                <w:b w:val="0"/>
                <w:sz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Gêneros Alimentícios</w:t>
            </w:r>
          </w:p>
        </w:tc>
        <w:tc>
          <w:tcPr>
            <w:tcW w:w="2287" w:type="dxa"/>
          </w:tcPr>
          <w:p>
            <w:pPr>
              <w:pStyle w:val="TableParagraph"/>
              <w:ind w:right="73"/>
              <w:rPr>
                <w:sz w:val="20"/>
              </w:rPr>
            </w:pPr>
            <w:r>
              <w:rPr>
                <w:sz w:val="20"/>
              </w:rPr>
              <w:t>72.000,00</w:t>
            </w:r>
          </w:p>
        </w:tc>
        <w:tc>
          <w:tcPr>
            <w:tcW w:w="2287" w:type="dxa"/>
          </w:tcPr>
          <w:p>
            <w:pPr>
              <w:pStyle w:val="TableParagraph"/>
              <w:ind w:right="72"/>
              <w:rPr>
                <w:sz w:val="20"/>
              </w:rPr>
            </w:pPr>
            <w:r>
              <w:rPr>
                <w:sz w:val="20"/>
              </w:rPr>
              <w:t>56.460,38</w:t>
            </w:r>
          </w:p>
        </w:tc>
      </w:tr>
      <w:tr>
        <w:trPr>
          <w:trHeight w:val="227" w:hRule="atLeast"/>
        </w:trPr>
        <w:tc>
          <w:tcPr>
            <w:tcW w:w="5048" w:type="dxa"/>
          </w:tcPr>
          <w:p>
            <w:pPr>
              <w:pStyle w:val="TableParagraph"/>
              <w:ind w:left="35"/>
              <w:jc w:val="left"/>
              <w:rPr>
                <w:rFonts w:ascii="Calibri Light"/>
                <w:b w:val="0"/>
                <w:sz w:val="20"/>
              </w:rPr>
            </w:pPr>
            <w:r>
              <w:rPr>
                <w:rFonts w:ascii="Calibri Light"/>
                <w:b w:val="0"/>
                <w:sz w:val="20"/>
              </w:rPr>
              <w:t>Outros Materiais de Consumo</w:t>
            </w:r>
          </w:p>
        </w:tc>
        <w:tc>
          <w:tcPr>
            <w:tcW w:w="2287" w:type="dxa"/>
          </w:tcPr>
          <w:p>
            <w:pPr>
              <w:pStyle w:val="TableParagraph"/>
              <w:ind w:right="73"/>
              <w:rPr>
                <w:sz w:val="20"/>
              </w:rPr>
            </w:pPr>
            <w:r>
              <w:rPr>
                <w:sz w:val="20"/>
              </w:rPr>
              <w:t>1.944.831,16</w:t>
            </w:r>
          </w:p>
        </w:tc>
        <w:tc>
          <w:tcPr>
            <w:tcW w:w="2287" w:type="dxa"/>
          </w:tcPr>
          <w:p>
            <w:pPr>
              <w:pStyle w:val="TableParagraph"/>
              <w:ind w:right="72"/>
              <w:rPr>
                <w:sz w:val="20"/>
              </w:rPr>
            </w:pPr>
            <w:r>
              <w:rPr>
                <w:sz w:val="20"/>
              </w:rPr>
              <w:t>2.540.610,81</w:t>
            </w:r>
          </w:p>
        </w:tc>
      </w:tr>
      <w:tr>
        <w:trPr>
          <w:trHeight w:val="227" w:hRule="atLeast"/>
        </w:trPr>
        <w:tc>
          <w:tcPr>
            <w:tcW w:w="5048" w:type="dxa"/>
          </w:tcPr>
          <w:p>
            <w:pPr>
              <w:pStyle w:val="TableParagraph"/>
              <w:ind w:left="35"/>
              <w:jc w:val="left"/>
              <w:rPr>
                <w:rFonts w:ascii="Calibri Light" w:hAnsi="Calibri Light"/>
                <w:b w:val="0"/>
                <w:sz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Outros Serviços de Terceiros</w:t>
            </w:r>
          </w:p>
        </w:tc>
        <w:tc>
          <w:tcPr>
            <w:tcW w:w="2287" w:type="dxa"/>
          </w:tcPr>
          <w:p>
            <w:pPr>
              <w:pStyle w:val="TableParagraph"/>
              <w:ind w:right="73"/>
              <w:rPr>
                <w:sz w:val="20"/>
              </w:rPr>
            </w:pPr>
            <w:r>
              <w:rPr>
                <w:sz w:val="20"/>
              </w:rPr>
              <w:t>2.078.400,00</w:t>
            </w:r>
          </w:p>
        </w:tc>
        <w:tc>
          <w:tcPr>
            <w:tcW w:w="2287" w:type="dxa"/>
          </w:tcPr>
          <w:p>
            <w:pPr>
              <w:pStyle w:val="TableParagraph"/>
              <w:ind w:right="72"/>
              <w:rPr>
                <w:sz w:val="20"/>
              </w:rPr>
            </w:pPr>
            <w:r>
              <w:rPr>
                <w:sz w:val="20"/>
              </w:rPr>
              <w:t>1.681.579,92</w:t>
            </w:r>
          </w:p>
        </w:tc>
      </w:tr>
      <w:tr>
        <w:trPr>
          <w:trHeight w:val="227" w:hRule="atLeast"/>
        </w:trPr>
        <w:tc>
          <w:tcPr>
            <w:tcW w:w="5048" w:type="dxa"/>
          </w:tcPr>
          <w:p>
            <w:pPr>
              <w:pStyle w:val="TableParagraph"/>
              <w:ind w:left="35"/>
              <w:jc w:val="left"/>
              <w:rPr>
                <w:rFonts w:ascii="Calibri Light"/>
                <w:b w:val="0"/>
                <w:sz w:val="20"/>
              </w:rPr>
            </w:pPr>
            <w:r>
              <w:rPr>
                <w:rFonts w:ascii="Calibri Light"/>
                <w:b w:val="0"/>
                <w:sz w:val="20"/>
              </w:rPr>
              <w:t>Recursos Humanos</w:t>
            </w:r>
          </w:p>
        </w:tc>
        <w:tc>
          <w:tcPr>
            <w:tcW w:w="2287" w:type="dxa"/>
          </w:tcPr>
          <w:p>
            <w:pPr>
              <w:pStyle w:val="TableParagraph"/>
              <w:ind w:right="73"/>
              <w:rPr>
                <w:sz w:val="20"/>
              </w:rPr>
            </w:pPr>
            <w:r>
              <w:rPr>
                <w:sz w:val="20"/>
              </w:rPr>
              <w:t>7.376.785,89</w:t>
            </w:r>
          </w:p>
        </w:tc>
        <w:tc>
          <w:tcPr>
            <w:tcW w:w="2287" w:type="dxa"/>
          </w:tcPr>
          <w:p>
            <w:pPr>
              <w:pStyle w:val="TableParagraph"/>
              <w:ind w:right="72"/>
              <w:rPr>
                <w:sz w:val="20"/>
              </w:rPr>
            </w:pPr>
            <w:r>
              <w:rPr>
                <w:sz w:val="20"/>
              </w:rPr>
              <w:t>9.006.980,23</w:t>
            </w:r>
          </w:p>
        </w:tc>
      </w:tr>
      <w:tr>
        <w:trPr>
          <w:trHeight w:val="227" w:hRule="atLeast"/>
        </w:trPr>
        <w:tc>
          <w:tcPr>
            <w:tcW w:w="5048" w:type="dxa"/>
          </w:tcPr>
          <w:p>
            <w:pPr>
              <w:pStyle w:val="TableParagraph"/>
              <w:ind w:left="35"/>
              <w:jc w:val="left"/>
              <w:rPr>
                <w:rFonts w:ascii="Calibri Light" w:hAnsi="Calibri Light"/>
                <w:b w:val="0"/>
                <w:sz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Serviços de Terceiros Pessoa Jurídica</w:t>
            </w:r>
          </w:p>
        </w:tc>
        <w:tc>
          <w:tcPr>
            <w:tcW w:w="2287" w:type="dxa"/>
          </w:tcPr>
          <w:p>
            <w:pPr>
              <w:pStyle w:val="TableParagraph"/>
              <w:ind w:right="73"/>
              <w:rPr>
                <w:sz w:val="20"/>
              </w:rPr>
            </w:pPr>
            <w:r>
              <w:rPr>
                <w:sz w:val="20"/>
              </w:rPr>
              <w:t>9.343.681,25</w:t>
            </w:r>
          </w:p>
        </w:tc>
        <w:tc>
          <w:tcPr>
            <w:tcW w:w="2287" w:type="dxa"/>
          </w:tcPr>
          <w:p>
            <w:pPr>
              <w:pStyle w:val="TableParagraph"/>
              <w:ind w:right="72"/>
              <w:rPr>
                <w:sz w:val="20"/>
              </w:rPr>
            </w:pPr>
            <w:r>
              <w:rPr>
                <w:sz w:val="20"/>
              </w:rPr>
              <w:t>8.367.669,99</w:t>
            </w:r>
          </w:p>
        </w:tc>
      </w:tr>
      <w:tr>
        <w:trPr>
          <w:trHeight w:val="227" w:hRule="atLeast"/>
        </w:trPr>
        <w:tc>
          <w:tcPr>
            <w:tcW w:w="5048" w:type="dxa"/>
          </w:tcPr>
          <w:p>
            <w:pPr>
              <w:pStyle w:val="TableParagraph"/>
              <w:spacing w:line="208" w:lineRule="exact"/>
              <w:ind w:left="35"/>
              <w:jc w:val="left"/>
              <w:rPr>
                <w:rFonts w:ascii="Calibri Light" w:hAnsi="Calibri Light"/>
                <w:b w:val="0"/>
                <w:sz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Locação de Equipamentos</w:t>
            </w:r>
          </w:p>
        </w:tc>
        <w:tc>
          <w:tcPr>
            <w:tcW w:w="2287" w:type="dxa"/>
          </w:tcPr>
          <w:p>
            <w:pPr>
              <w:pStyle w:val="TableParagraph"/>
              <w:spacing w:line="208" w:lineRule="exact"/>
              <w:ind w:right="73"/>
              <w:rPr>
                <w:sz w:val="20"/>
              </w:rPr>
            </w:pPr>
            <w:r>
              <w:rPr>
                <w:sz w:val="20"/>
              </w:rPr>
              <w:t>420.000,00</w:t>
            </w:r>
          </w:p>
        </w:tc>
        <w:tc>
          <w:tcPr>
            <w:tcW w:w="2287" w:type="dxa"/>
          </w:tcPr>
          <w:p>
            <w:pPr>
              <w:pStyle w:val="TableParagraph"/>
              <w:spacing w:line="208" w:lineRule="exact"/>
              <w:ind w:right="72"/>
              <w:rPr>
                <w:sz w:val="20"/>
              </w:rPr>
            </w:pPr>
            <w:r>
              <w:rPr>
                <w:sz w:val="20"/>
              </w:rPr>
              <w:t>622.050,08</w:t>
            </w:r>
          </w:p>
        </w:tc>
      </w:tr>
      <w:tr>
        <w:trPr>
          <w:trHeight w:val="227" w:hRule="atLeast"/>
        </w:trPr>
        <w:tc>
          <w:tcPr>
            <w:tcW w:w="5048" w:type="dxa"/>
          </w:tcPr>
          <w:p>
            <w:pPr>
              <w:pStyle w:val="TableParagraph"/>
              <w:ind w:left="35"/>
              <w:jc w:val="left"/>
              <w:rPr>
                <w:rFonts w:ascii="Calibri Light" w:hAnsi="Calibri Light"/>
                <w:b w:val="0"/>
                <w:sz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Utilidades Públicas</w:t>
            </w:r>
          </w:p>
        </w:tc>
        <w:tc>
          <w:tcPr>
            <w:tcW w:w="2287" w:type="dxa"/>
          </w:tcPr>
          <w:p>
            <w:pPr>
              <w:pStyle w:val="TableParagraph"/>
              <w:ind w:right="73"/>
              <w:rPr>
                <w:sz w:val="20"/>
              </w:rPr>
            </w:pPr>
            <w:r>
              <w:rPr>
                <w:sz w:val="20"/>
              </w:rPr>
              <w:t>210.600,00</w:t>
            </w:r>
          </w:p>
        </w:tc>
        <w:tc>
          <w:tcPr>
            <w:tcW w:w="2287" w:type="dxa"/>
          </w:tcPr>
          <w:p>
            <w:pPr>
              <w:pStyle w:val="TableParagraph"/>
              <w:ind w:right="72"/>
              <w:rPr>
                <w:sz w:val="20"/>
              </w:rPr>
            </w:pPr>
            <w:r>
              <w:rPr>
                <w:sz w:val="20"/>
              </w:rPr>
              <w:t>155.039,09</w:t>
            </w:r>
          </w:p>
        </w:tc>
      </w:tr>
      <w:tr>
        <w:trPr>
          <w:trHeight w:val="227" w:hRule="atLeast"/>
        </w:trPr>
        <w:tc>
          <w:tcPr>
            <w:tcW w:w="5048" w:type="dxa"/>
          </w:tcPr>
          <w:p>
            <w:pPr>
              <w:pStyle w:val="TableParagraph"/>
              <w:ind w:left="35"/>
              <w:jc w:val="left"/>
              <w:rPr>
                <w:rFonts w:ascii="Calibri Light" w:hAnsi="Calibri Light"/>
                <w:b w:val="0"/>
                <w:sz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Laboratório</w:t>
            </w:r>
          </w:p>
        </w:tc>
        <w:tc>
          <w:tcPr>
            <w:tcW w:w="2287" w:type="dxa"/>
          </w:tcPr>
          <w:p>
            <w:pPr>
              <w:pStyle w:val="TableParagraph"/>
              <w:ind w:right="73"/>
              <w:rPr>
                <w:sz w:val="20"/>
              </w:rPr>
            </w:pPr>
            <w:r>
              <w:rPr>
                <w:sz w:val="20"/>
              </w:rPr>
              <w:t>954.834,00</w:t>
            </w:r>
          </w:p>
        </w:tc>
        <w:tc>
          <w:tcPr>
            <w:tcW w:w="2287" w:type="dxa"/>
          </w:tcPr>
          <w:p>
            <w:pPr>
              <w:pStyle w:val="TableParagraph"/>
              <w:ind w:right="72"/>
              <w:rPr>
                <w:sz w:val="20"/>
              </w:rPr>
            </w:pPr>
            <w:r>
              <w:rPr>
                <w:sz w:val="20"/>
              </w:rPr>
              <w:t>223.000,26</w:t>
            </w:r>
          </w:p>
        </w:tc>
      </w:tr>
      <w:tr>
        <w:trPr>
          <w:trHeight w:val="227" w:hRule="atLeast"/>
        </w:trPr>
        <w:tc>
          <w:tcPr>
            <w:tcW w:w="5048" w:type="dxa"/>
          </w:tcPr>
          <w:p>
            <w:pPr>
              <w:pStyle w:val="TableParagraph"/>
              <w:ind w:left="35"/>
              <w:jc w:val="left"/>
              <w:rPr>
                <w:rFonts w:ascii="Calibri Light" w:hAnsi="Calibri Light"/>
                <w:b w:val="0"/>
                <w:sz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Serviços de Apoio e Compartilhados da FHSL</w:t>
            </w:r>
          </w:p>
        </w:tc>
        <w:tc>
          <w:tcPr>
            <w:tcW w:w="2287" w:type="dxa"/>
          </w:tcPr>
          <w:p>
            <w:pPr>
              <w:pStyle w:val="TableParagraph"/>
              <w:ind w:right="73"/>
              <w:rPr>
                <w:sz w:val="20"/>
              </w:rPr>
            </w:pPr>
            <w:r>
              <w:rPr>
                <w:sz w:val="20"/>
              </w:rPr>
              <w:t>1.237.995,54</w:t>
            </w:r>
          </w:p>
        </w:tc>
        <w:tc>
          <w:tcPr>
            <w:tcW w:w="2287" w:type="dxa"/>
          </w:tcPr>
          <w:p>
            <w:pPr>
              <w:pStyle w:val="TableParagraph"/>
              <w:ind w:right="72"/>
              <w:rPr>
                <w:sz w:val="20"/>
              </w:rPr>
            </w:pPr>
            <w:r>
              <w:rPr>
                <w:sz w:val="20"/>
              </w:rPr>
              <w:t>2.766.629,01</w:t>
            </w:r>
          </w:p>
        </w:tc>
      </w:tr>
      <w:tr>
        <w:trPr>
          <w:trHeight w:val="227" w:hRule="atLeast"/>
        </w:trPr>
        <w:tc>
          <w:tcPr>
            <w:tcW w:w="5048" w:type="dxa"/>
          </w:tcPr>
          <w:p>
            <w:pPr>
              <w:pStyle w:val="TableParagraph"/>
              <w:ind w:left="35"/>
              <w:jc w:val="left"/>
              <w:rPr>
                <w:rFonts w:ascii="Calibri Light"/>
                <w:b w:val="0"/>
                <w:sz w:val="20"/>
              </w:rPr>
            </w:pPr>
            <w:r>
              <w:rPr>
                <w:rFonts w:ascii="Calibri Light"/>
                <w:b w:val="0"/>
                <w:sz w:val="20"/>
              </w:rPr>
              <w:t>Outras Despesas</w:t>
            </w:r>
          </w:p>
        </w:tc>
        <w:tc>
          <w:tcPr>
            <w:tcW w:w="2287" w:type="dxa"/>
          </w:tcPr>
          <w:p>
            <w:pPr>
              <w:pStyle w:val="TableParagraph"/>
              <w:ind w:right="73"/>
              <w:rPr>
                <w:sz w:val="20"/>
              </w:rPr>
            </w:pPr>
            <w:r>
              <w:rPr>
                <w:sz w:val="20"/>
              </w:rPr>
              <w:t>42.000,00</w:t>
            </w:r>
          </w:p>
        </w:tc>
        <w:tc>
          <w:tcPr>
            <w:tcW w:w="2287" w:type="dxa"/>
          </w:tcPr>
          <w:p>
            <w:pPr>
              <w:pStyle w:val="TableParagraph"/>
              <w:ind w:right="72"/>
              <w:rPr>
                <w:sz w:val="20"/>
              </w:rPr>
            </w:pPr>
            <w:r>
              <w:rPr>
                <w:sz w:val="20"/>
              </w:rPr>
              <w:t>40.720,93</w:t>
            </w:r>
          </w:p>
        </w:tc>
      </w:tr>
      <w:tr>
        <w:trPr>
          <w:trHeight w:val="227" w:hRule="atLeast"/>
        </w:trPr>
        <w:tc>
          <w:tcPr>
            <w:tcW w:w="5048" w:type="dxa"/>
          </w:tcPr>
          <w:p>
            <w:pPr>
              <w:pStyle w:val="TableParagraph"/>
              <w:ind w:left="35"/>
              <w:jc w:val="left"/>
              <w:rPr>
                <w:rFonts w:ascii="Calibri Light" w:hAnsi="Calibri Light"/>
                <w:b w:val="0"/>
                <w:sz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Itens não previstos</w:t>
            </w:r>
          </w:p>
        </w:tc>
        <w:tc>
          <w:tcPr>
            <w:tcW w:w="2287" w:type="dxa"/>
          </w:tcPr>
          <w:p>
            <w:pPr>
              <w:pStyle w:val="TableParagraph"/>
              <w:ind w:right="27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287" w:type="dxa"/>
          </w:tcPr>
          <w:p>
            <w:pPr>
              <w:pStyle w:val="TableParagraph"/>
              <w:ind w:right="72"/>
              <w:rPr>
                <w:sz w:val="20"/>
              </w:rPr>
            </w:pPr>
            <w:r>
              <w:rPr>
                <w:sz w:val="20"/>
              </w:rPr>
              <w:t>28.420,00</w:t>
            </w:r>
          </w:p>
        </w:tc>
      </w:tr>
      <w:tr>
        <w:trPr>
          <w:trHeight w:val="227" w:hRule="atLeast"/>
        </w:trPr>
        <w:tc>
          <w:tcPr>
            <w:tcW w:w="5048" w:type="dxa"/>
          </w:tcPr>
          <w:p>
            <w:pPr>
              <w:pStyle w:val="TableParagraph"/>
              <w:ind w:left="35"/>
              <w:jc w:val="left"/>
              <w:rPr>
                <w:rFonts w:ascii="Calibri Light"/>
                <w:b w:val="0"/>
                <w:sz w:val="20"/>
              </w:rPr>
            </w:pPr>
            <w:r>
              <w:rPr>
                <w:rFonts w:ascii="Calibri Light"/>
                <w:b w:val="0"/>
                <w:sz w:val="20"/>
              </w:rPr>
              <w:t>TOTAL</w:t>
            </w:r>
          </w:p>
        </w:tc>
        <w:tc>
          <w:tcPr>
            <w:tcW w:w="2287" w:type="dxa"/>
          </w:tcPr>
          <w:p>
            <w:pPr>
              <w:pStyle w:val="TableParagraph"/>
              <w:ind w:right="73"/>
              <w:rPr>
                <w:sz w:val="20"/>
              </w:rPr>
            </w:pPr>
            <w:r>
              <w:rPr>
                <w:sz w:val="20"/>
              </w:rPr>
              <w:t>23.681.127,84</w:t>
            </w:r>
          </w:p>
        </w:tc>
        <w:tc>
          <w:tcPr>
            <w:tcW w:w="2287" w:type="dxa"/>
          </w:tcPr>
          <w:p>
            <w:pPr>
              <w:pStyle w:val="TableParagraph"/>
              <w:ind w:right="73"/>
              <w:rPr>
                <w:sz w:val="20"/>
              </w:rPr>
            </w:pPr>
            <w:r>
              <w:rPr>
                <w:sz w:val="20"/>
              </w:rPr>
              <w:t>25.489.160,70</w:t>
            </w:r>
          </w:p>
        </w:tc>
      </w:tr>
    </w:tbl>
    <w:p>
      <w:pPr>
        <w:pStyle w:val="BodyText"/>
        <w:spacing w:before="11"/>
        <w:rPr>
          <w:sz w:val="20"/>
        </w:rPr>
      </w:pPr>
    </w:p>
    <w:tbl>
      <w:tblPr>
        <w:tblW w:w="0" w:type="auto"/>
        <w:jc w:val="left"/>
        <w:tblInd w:w="27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1"/>
      </w:tblGrid>
      <w:tr>
        <w:trPr>
          <w:trHeight w:val="422" w:hRule="atLeast"/>
        </w:trPr>
        <w:tc>
          <w:tcPr>
            <w:tcW w:w="6721" w:type="dxa"/>
          </w:tcPr>
          <w:p>
            <w:pPr>
              <w:pStyle w:val="TableParagraph"/>
              <w:spacing w:line="399" w:lineRule="exact"/>
              <w:ind w:left="175" w:right="175"/>
              <w:jc w:val="center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FUNDAÇÃO HOSPITAL SANTA LYDIA</w:t>
            </w:r>
          </w:p>
        </w:tc>
      </w:tr>
      <w:tr>
        <w:trPr>
          <w:trHeight w:val="290" w:hRule="atLeast"/>
        </w:trPr>
        <w:tc>
          <w:tcPr>
            <w:tcW w:w="6721" w:type="dxa"/>
          </w:tcPr>
          <w:p>
            <w:pPr>
              <w:pStyle w:val="TableParagraph"/>
              <w:spacing w:line="240" w:lineRule="auto" w:before="15"/>
              <w:ind w:left="175" w:right="17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Rua Tamandaré, 434 – CEP 14.085-070 - Campos Elíseos</w:t>
            </w:r>
          </w:p>
        </w:tc>
      </w:tr>
      <w:tr>
        <w:trPr>
          <w:trHeight w:val="285" w:hRule="atLeast"/>
        </w:trPr>
        <w:tc>
          <w:tcPr>
            <w:tcW w:w="6721" w:type="dxa"/>
          </w:tcPr>
          <w:p>
            <w:pPr>
              <w:pStyle w:val="TableParagraph"/>
              <w:spacing w:line="251" w:lineRule="exact" w:before="14"/>
              <w:ind w:left="175" w:right="17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Ribeirão Preto – S.P. – Tel.(16) 3605 4848</w:t>
            </w:r>
          </w:p>
        </w:tc>
      </w:tr>
      <w:tr>
        <w:trPr>
          <w:trHeight w:val="238" w:hRule="atLeast"/>
        </w:trPr>
        <w:tc>
          <w:tcPr>
            <w:tcW w:w="6721" w:type="dxa"/>
          </w:tcPr>
          <w:p>
            <w:pPr>
              <w:pStyle w:val="TableParagraph"/>
              <w:spacing w:line="210" w:lineRule="exact" w:before="9"/>
              <w:ind w:left="169" w:right="1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CNPJ-MF nº 13.370.183/0001-89 Inscr. Municipal nº 149977/01</w:t>
            </w:r>
          </w:p>
        </w:tc>
      </w:tr>
    </w:tbl>
    <w:p>
      <w:pPr>
        <w:pStyle w:val="BodyText"/>
        <w:spacing w:before="12"/>
        <w:rPr>
          <w:sz w:val="17"/>
        </w:rPr>
      </w:pPr>
    </w:p>
    <w:p>
      <w:pPr>
        <w:pStyle w:val="Heading1"/>
        <w:spacing w:before="51"/>
      </w:pPr>
      <w:r>
        <w:rPr/>
        <w:t>Execução dos Contratos de Gestão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spacing w:line="259" w:lineRule="auto" w:before="56"/>
        <w:ind w:left="1298" w:hanging="548"/>
      </w:pPr>
      <w:r>
        <w:rPr/>
        <w:t>A Fundação Hospital Santa Lydia apresenta, conforme previsto no Art. 4°, §2°, da Lei 2.415/2010, rel orçamentária para prestar contas de seus respectivos Contratos de Gestão, referente ao exerc</w:t>
      </w:r>
    </w:p>
    <w:p>
      <w:pPr>
        <w:pStyle w:val="BodyText"/>
        <w:spacing w:before="10"/>
      </w:pPr>
    </w:p>
    <w:p>
      <w:pPr>
        <w:pStyle w:val="Heading1"/>
        <w:spacing w:before="52"/>
        <w:ind w:left="187"/>
      </w:pPr>
      <w:r>
        <w:rPr/>
        <w:t>Contrato de Gestão nº 108/2021 - UBS Quintino I - Recurso Municipal</w:t>
      </w:r>
    </w:p>
    <w:p>
      <w:pPr>
        <w:pStyle w:val="BodyText"/>
        <w:spacing w:before="3"/>
        <w:rPr>
          <w:b/>
          <w:sz w:val="20"/>
        </w:rPr>
      </w:pPr>
    </w:p>
    <w:tbl>
      <w:tblPr>
        <w:tblW w:w="0" w:type="auto"/>
        <w:jc w:val="left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8"/>
        <w:gridCol w:w="2287"/>
        <w:gridCol w:w="2287"/>
      </w:tblGrid>
      <w:tr>
        <w:trPr>
          <w:trHeight w:val="474" w:hRule="atLeast"/>
        </w:trPr>
        <w:tc>
          <w:tcPr>
            <w:tcW w:w="5048" w:type="dxa"/>
          </w:tcPr>
          <w:p>
            <w:pPr>
              <w:pStyle w:val="TableParagraph"/>
              <w:spacing w:line="240" w:lineRule="auto" w:before="104"/>
              <w:ind w:left="16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Categoria de Despesa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 w:before="104"/>
              <w:ind w:left="5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Orçado (2022)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 w:before="104"/>
              <w:ind w:left="46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Realizado (2022)</w:t>
            </w:r>
          </w:p>
        </w:tc>
      </w:tr>
      <w:tr>
        <w:trPr>
          <w:trHeight w:val="227" w:hRule="atLeast"/>
        </w:trPr>
        <w:tc>
          <w:tcPr>
            <w:tcW w:w="5048" w:type="dxa"/>
          </w:tcPr>
          <w:p>
            <w:pPr>
              <w:pStyle w:val="TableParagraph"/>
              <w:ind w:left="35"/>
              <w:jc w:val="left"/>
              <w:rPr>
                <w:rFonts w:ascii="Calibri Light" w:hAnsi="Calibri Light"/>
                <w:b w:val="0"/>
                <w:sz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Material médico hospitalar e medicamentos</w:t>
            </w:r>
          </w:p>
        </w:tc>
        <w:tc>
          <w:tcPr>
            <w:tcW w:w="2287" w:type="dxa"/>
          </w:tcPr>
          <w:p>
            <w:pPr>
              <w:pStyle w:val="TableParagraph"/>
              <w:ind w:right="73"/>
              <w:rPr>
                <w:sz w:val="20"/>
              </w:rPr>
            </w:pPr>
            <w:r>
              <w:rPr>
                <w:sz w:val="20"/>
              </w:rPr>
              <w:t>211.117,25</w:t>
            </w:r>
          </w:p>
        </w:tc>
        <w:tc>
          <w:tcPr>
            <w:tcW w:w="2287" w:type="dxa"/>
          </w:tcPr>
          <w:p>
            <w:pPr>
              <w:pStyle w:val="TableParagraph"/>
              <w:ind w:right="72"/>
              <w:rPr>
                <w:sz w:val="20"/>
              </w:rPr>
            </w:pPr>
            <w:r>
              <w:rPr>
                <w:sz w:val="20"/>
              </w:rPr>
              <w:t>360.600,47</w:t>
            </w:r>
          </w:p>
        </w:tc>
      </w:tr>
      <w:tr>
        <w:trPr>
          <w:trHeight w:val="227" w:hRule="atLeast"/>
        </w:trPr>
        <w:tc>
          <w:tcPr>
            <w:tcW w:w="5048" w:type="dxa"/>
          </w:tcPr>
          <w:p>
            <w:pPr>
              <w:pStyle w:val="TableParagraph"/>
              <w:ind w:left="35"/>
              <w:jc w:val="left"/>
              <w:rPr>
                <w:rFonts w:ascii="Calibri Light"/>
                <w:b w:val="0"/>
                <w:sz w:val="20"/>
              </w:rPr>
            </w:pPr>
            <w:r>
              <w:rPr>
                <w:rFonts w:ascii="Calibri Light"/>
                <w:b w:val="0"/>
                <w:sz w:val="20"/>
              </w:rPr>
              <w:t>Outros Materiais de Consumo</w:t>
            </w:r>
          </w:p>
        </w:tc>
        <w:tc>
          <w:tcPr>
            <w:tcW w:w="2287" w:type="dxa"/>
          </w:tcPr>
          <w:p>
            <w:pPr>
              <w:pStyle w:val="TableParagraph"/>
              <w:ind w:right="73"/>
              <w:rPr>
                <w:sz w:val="20"/>
              </w:rPr>
            </w:pPr>
            <w:r>
              <w:rPr>
                <w:sz w:val="20"/>
              </w:rPr>
              <w:t>27.000,00</w:t>
            </w:r>
          </w:p>
        </w:tc>
        <w:tc>
          <w:tcPr>
            <w:tcW w:w="2287" w:type="dxa"/>
          </w:tcPr>
          <w:p>
            <w:pPr>
              <w:pStyle w:val="TableParagraph"/>
              <w:ind w:right="72"/>
              <w:rPr>
                <w:sz w:val="20"/>
              </w:rPr>
            </w:pPr>
            <w:r>
              <w:rPr>
                <w:sz w:val="20"/>
              </w:rPr>
              <w:t>32.798,75</w:t>
            </w:r>
          </w:p>
        </w:tc>
      </w:tr>
      <w:tr>
        <w:trPr>
          <w:trHeight w:val="227" w:hRule="atLeast"/>
        </w:trPr>
        <w:tc>
          <w:tcPr>
            <w:tcW w:w="5048" w:type="dxa"/>
          </w:tcPr>
          <w:p>
            <w:pPr>
              <w:pStyle w:val="TableParagraph"/>
              <w:spacing w:line="208" w:lineRule="exact"/>
              <w:ind w:left="35"/>
              <w:jc w:val="left"/>
              <w:rPr>
                <w:rFonts w:ascii="Calibri Light" w:hAnsi="Calibri Light"/>
                <w:b w:val="0"/>
                <w:sz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Outros Serviços de Terceiros</w:t>
            </w:r>
          </w:p>
        </w:tc>
        <w:tc>
          <w:tcPr>
            <w:tcW w:w="2287" w:type="dxa"/>
          </w:tcPr>
          <w:p>
            <w:pPr>
              <w:pStyle w:val="TableParagraph"/>
              <w:spacing w:line="208" w:lineRule="exact"/>
              <w:ind w:right="73"/>
              <w:rPr>
                <w:sz w:val="20"/>
              </w:rPr>
            </w:pPr>
            <w:r>
              <w:rPr>
                <w:sz w:val="20"/>
              </w:rPr>
              <w:t>550.887,40</w:t>
            </w:r>
          </w:p>
        </w:tc>
        <w:tc>
          <w:tcPr>
            <w:tcW w:w="2287" w:type="dxa"/>
          </w:tcPr>
          <w:p>
            <w:pPr>
              <w:pStyle w:val="TableParagraph"/>
              <w:spacing w:line="208" w:lineRule="exact"/>
              <w:ind w:right="72"/>
              <w:rPr>
                <w:sz w:val="20"/>
              </w:rPr>
            </w:pPr>
            <w:r>
              <w:rPr>
                <w:sz w:val="20"/>
              </w:rPr>
              <w:t>286.451,30</w:t>
            </w:r>
          </w:p>
        </w:tc>
      </w:tr>
      <w:tr>
        <w:trPr>
          <w:trHeight w:val="227" w:hRule="atLeast"/>
        </w:trPr>
        <w:tc>
          <w:tcPr>
            <w:tcW w:w="5048" w:type="dxa"/>
          </w:tcPr>
          <w:p>
            <w:pPr>
              <w:pStyle w:val="TableParagraph"/>
              <w:ind w:left="35"/>
              <w:jc w:val="left"/>
              <w:rPr>
                <w:rFonts w:ascii="Calibri Light"/>
                <w:b w:val="0"/>
                <w:sz w:val="20"/>
              </w:rPr>
            </w:pPr>
            <w:r>
              <w:rPr>
                <w:rFonts w:ascii="Calibri Light"/>
                <w:b w:val="0"/>
                <w:sz w:val="20"/>
              </w:rPr>
              <w:t>Recursos Humanos</w:t>
            </w:r>
          </w:p>
        </w:tc>
        <w:tc>
          <w:tcPr>
            <w:tcW w:w="2287" w:type="dxa"/>
          </w:tcPr>
          <w:p>
            <w:pPr>
              <w:pStyle w:val="TableParagraph"/>
              <w:ind w:right="73"/>
              <w:rPr>
                <w:sz w:val="20"/>
              </w:rPr>
            </w:pPr>
            <w:r>
              <w:rPr>
                <w:sz w:val="20"/>
              </w:rPr>
              <w:t>1.661.942,94</w:t>
            </w:r>
          </w:p>
        </w:tc>
        <w:tc>
          <w:tcPr>
            <w:tcW w:w="2287" w:type="dxa"/>
          </w:tcPr>
          <w:p>
            <w:pPr>
              <w:pStyle w:val="TableParagraph"/>
              <w:ind w:right="72"/>
              <w:rPr>
                <w:sz w:val="20"/>
              </w:rPr>
            </w:pPr>
            <w:r>
              <w:rPr>
                <w:sz w:val="20"/>
              </w:rPr>
              <w:t>2.320.727,77</w:t>
            </w:r>
          </w:p>
        </w:tc>
      </w:tr>
      <w:tr>
        <w:trPr>
          <w:trHeight w:val="227" w:hRule="atLeast"/>
        </w:trPr>
        <w:tc>
          <w:tcPr>
            <w:tcW w:w="5048" w:type="dxa"/>
          </w:tcPr>
          <w:p>
            <w:pPr>
              <w:pStyle w:val="TableParagraph"/>
              <w:ind w:left="35"/>
              <w:jc w:val="left"/>
              <w:rPr>
                <w:rFonts w:ascii="Calibri Light" w:hAnsi="Calibri Light"/>
                <w:b w:val="0"/>
                <w:sz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Médicos</w:t>
            </w:r>
          </w:p>
        </w:tc>
        <w:tc>
          <w:tcPr>
            <w:tcW w:w="2287" w:type="dxa"/>
          </w:tcPr>
          <w:p>
            <w:pPr>
              <w:pStyle w:val="TableParagraph"/>
              <w:ind w:right="73"/>
              <w:rPr>
                <w:sz w:val="20"/>
              </w:rPr>
            </w:pPr>
            <w:r>
              <w:rPr>
                <w:sz w:val="20"/>
              </w:rPr>
              <w:t>1.213.434,20</w:t>
            </w:r>
          </w:p>
        </w:tc>
        <w:tc>
          <w:tcPr>
            <w:tcW w:w="2287" w:type="dxa"/>
          </w:tcPr>
          <w:p>
            <w:pPr>
              <w:pStyle w:val="TableParagraph"/>
              <w:ind w:right="72"/>
              <w:rPr>
                <w:sz w:val="20"/>
              </w:rPr>
            </w:pPr>
            <w:r>
              <w:rPr>
                <w:sz w:val="20"/>
              </w:rPr>
              <w:t>180.538,50</w:t>
            </w:r>
          </w:p>
        </w:tc>
      </w:tr>
      <w:tr>
        <w:trPr>
          <w:trHeight w:val="227" w:hRule="atLeast"/>
        </w:trPr>
        <w:tc>
          <w:tcPr>
            <w:tcW w:w="5048" w:type="dxa"/>
          </w:tcPr>
          <w:p>
            <w:pPr>
              <w:pStyle w:val="TableParagraph"/>
              <w:ind w:left="35"/>
              <w:jc w:val="left"/>
              <w:rPr>
                <w:rFonts w:ascii="Calibri Light" w:hAnsi="Calibri Light"/>
                <w:b w:val="0"/>
                <w:sz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Locação</w:t>
            </w:r>
          </w:p>
        </w:tc>
        <w:tc>
          <w:tcPr>
            <w:tcW w:w="2287" w:type="dxa"/>
          </w:tcPr>
          <w:p>
            <w:pPr>
              <w:pStyle w:val="TableParagraph"/>
              <w:ind w:right="73"/>
              <w:rPr>
                <w:sz w:val="20"/>
              </w:rPr>
            </w:pPr>
            <w:r>
              <w:rPr>
                <w:sz w:val="20"/>
              </w:rPr>
              <w:t>131.760,00</w:t>
            </w:r>
          </w:p>
        </w:tc>
        <w:tc>
          <w:tcPr>
            <w:tcW w:w="2287" w:type="dxa"/>
          </w:tcPr>
          <w:p>
            <w:pPr>
              <w:pStyle w:val="TableParagraph"/>
              <w:ind w:right="72"/>
              <w:rPr>
                <w:sz w:val="20"/>
              </w:rPr>
            </w:pPr>
            <w:r>
              <w:rPr>
                <w:sz w:val="20"/>
              </w:rPr>
              <w:t>97.680,00</w:t>
            </w:r>
          </w:p>
        </w:tc>
      </w:tr>
      <w:tr>
        <w:trPr>
          <w:trHeight w:val="227" w:hRule="atLeast"/>
        </w:trPr>
        <w:tc>
          <w:tcPr>
            <w:tcW w:w="5048" w:type="dxa"/>
          </w:tcPr>
          <w:p>
            <w:pPr>
              <w:pStyle w:val="TableParagraph"/>
              <w:ind w:left="35"/>
              <w:jc w:val="left"/>
              <w:rPr>
                <w:rFonts w:ascii="Calibri Light" w:hAnsi="Calibri Light"/>
                <w:b w:val="0"/>
                <w:sz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Utilidade Pública</w:t>
            </w:r>
          </w:p>
        </w:tc>
        <w:tc>
          <w:tcPr>
            <w:tcW w:w="2287" w:type="dxa"/>
          </w:tcPr>
          <w:p>
            <w:pPr>
              <w:pStyle w:val="TableParagraph"/>
              <w:ind w:right="73"/>
              <w:rPr>
                <w:sz w:val="20"/>
              </w:rPr>
            </w:pPr>
            <w:r>
              <w:rPr>
                <w:sz w:val="20"/>
              </w:rPr>
              <w:t>75.000,00</w:t>
            </w:r>
          </w:p>
        </w:tc>
        <w:tc>
          <w:tcPr>
            <w:tcW w:w="2287" w:type="dxa"/>
          </w:tcPr>
          <w:p>
            <w:pPr>
              <w:pStyle w:val="TableParagraph"/>
              <w:ind w:right="72"/>
              <w:rPr>
                <w:sz w:val="20"/>
              </w:rPr>
            </w:pPr>
            <w:r>
              <w:rPr>
                <w:sz w:val="20"/>
              </w:rPr>
              <w:t>55.710,98</w:t>
            </w:r>
          </w:p>
        </w:tc>
      </w:tr>
      <w:tr>
        <w:trPr>
          <w:trHeight w:val="227" w:hRule="atLeast"/>
        </w:trPr>
        <w:tc>
          <w:tcPr>
            <w:tcW w:w="5048" w:type="dxa"/>
          </w:tcPr>
          <w:p>
            <w:pPr>
              <w:pStyle w:val="TableParagraph"/>
              <w:ind w:left="35"/>
              <w:jc w:val="left"/>
              <w:rPr>
                <w:rFonts w:ascii="Calibri Light"/>
                <w:b w:val="0"/>
                <w:sz w:val="20"/>
              </w:rPr>
            </w:pPr>
            <w:r>
              <w:rPr>
                <w:rFonts w:ascii="Calibri Light"/>
                <w:b w:val="0"/>
                <w:sz w:val="20"/>
              </w:rPr>
              <w:t>Outras Despesas</w:t>
            </w:r>
          </w:p>
        </w:tc>
        <w:tc>
          <w:tcPr>
            <w:tcW w:w="2287" w:type="dxa"/>
          </w:tcPr>
          <w:p>
            <w:pPr>
              <w:pStyle w:val="TableParagraph"/>
              <w:ind w:right="73"/>
              <w:rPr>
                <w:sz w:val="20"/>
              </w:rPr>
            </w:pPr>
            <w:r>
              <w:rPr>
                <w:sz w:val="20"/>
              </w:rPr>
              <w:t>182.703,70</w:t>
            </w:r>
          </w:p>
        </w:tc>
        <w:tc>
          <w:tcPr>
            <w:tcW w:w="2287" w:type="dxa"/>
          </w:tcPr>
          <w:p>
            <w:pPr>
              <w:pStyle w:val="TableParagraph"/>
              <w:ind w:right="72"/>
              <w:rPr>
                <w:sz w:val="20"/>
              </w:rPr>
            </w:pPr>
            <w:r>
              <w:rPr>
                <w:sz w:val="20"/>
              </w:rPr>
              <w:t>297.778,10</w:t>
            </w:r>
          </w:p>
        </w:tc>
      </w:tr>
      <w:tr>
        <w:trPr>
          <w:trHeight w:val="227" w:hRule="atLeast"/>
        </w:trPr>
        <w:tc>
          <w:tcPr>
            <w:tcW w:w="5048" w:type="dxa"/>
          </w:tcPr>
          <w:p>
            <w:pPr>
              <w:pStyle w:val="TableParagraph"/>
              <w:ind w:left="35"/>
              <w:jc w:val="left"/>
              <w:rPr>
                <w:rFonts w:ascii="Calibri Light" w:hAnsi="Calibri Light"/>
                <w:b w:val="0"/>
                <w:sz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Itens não previstos</w:t>
            </w:r>
          </w:p>
        </w:tc>
        <w:tc>
          <w:tcPr>
            <w:tcW w:w="2287" w:type="dxa"/>
          </w:tcPr>
          <w:p>
            <w:pPr>
              <w:pStyle w:val="TableParagraph"/>
              <w:ind w:right="27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287" w:type="dxa"/>
          </w:tcPr>
          <w:p>
            <w:pPr>
              <w:pStyle w:val="TableParagraph"/>
              <w:ind w:right="72"/>
              <w:rPr>
                <w:sz w:val="20"/>
              </w:rPr>
            </w:pPr>
            <w:r>
              <w:rPr>
                <w:sz w:val="20"/>
              </w:rPr>
              <w:t>20.387,17</w:t>
            </w:r>
          </w:p>
        </w:tc>
      </w:tr>
      <w:tr>
        <w:trPr>
          <w:trHeight w:val="227" w:hRule="atLeast"/>
        </w:trPr>
        <w:tc>
          <w:tcPr>
            <w:tcW w:w="5048" w:type="dxa"/>
          </w:tcPr>
          <w:p>
            <w:pPr>
              <w:pStyle w:val="TableParagraph"/>
              <w:ind w:left="35"/>
              <w:jc w:val="left"/>
              <w:rPr>
                <w:rFonts w:ascii="Calibri Light"/>
                <w:b w:val="0"/>
                <w:sz w:val="20"/>
              </w:rPr>
            </w:pPr>
            <w:r>
              <w:rPr>
                <w:rFonts w:ascii="Calibri Light"/>
                <w:b w:val="0"/>
                <w:sz w:val="20"/>
              </w:rPr>
              <w:t>TOTAL</w:t>
            </w:r>
          </w:p>
        </w:tc>
        <w:tc>
          <w:tcPr>
            <w:tcW w:w="2287" w:type="dxa"/>
          </w:tcPr>
          <w:p>
            <w:pPr>
              <w:pStyle w:val="TableParagraph"/>
              <w:ind w:right="73"/>
              <w:rPr>
                <w:sz w:val="20"/>
              </w:rPr>
            </w:pPr>
            <w:r>
              <w:rPr>
                <w:sz w:val="20"/>
              </w:rPr>
              <w:t>4.053.845,49</w:t>
            </w:r>
          </w:p>
        </w:tc>
        <w:tc>
          <w:tcPr>
            <w:tcW w:w="2287" w:type="dxa"/>
          </w:tcPr>
          <w:p>
            <w:pPr>
              <w:pStyle w:val="TableParagraph"/>
              <w:ind w:right="72"/>
              <w:rPr>
                <w:sz w:val="20"/>
              </w:rPr>
            </w:pPr>
            <w:r>
              <w:rPr>
                <w:sz w:val="20"/>
              </w:rPr>
              <w:t>3.652.673,04</w:t>
            </w:r>
          </w:p>
        </w:tc>
      </w:tr>
    </w:tbl>
    <w:p>
      <w:pPr>
        <w:pStyle w:val="BodyText"/>
        <w:spacing w:before="11"/>
        <w:rPr>
          <w:b/>
          <w:sz w:val="20"/>
        </w:rPr>
      </w:pPr>
    </w:p>
    <w:tbl>
      <w:tblPr>
        <w:tblW w:w="0" w:type="auto"/>
        <w:jc w:val="left"/>
        <w:tblInd w:w="27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1"/>
      </w:tblGrid>
      <w:tr>
        <w:trPr>
          <w:trHeight w:val="422" w:hRule="atLeast"/>
        </w:trPr>
        <w:tc>
          <w:tcPr>
            <w:tcW w:w="6721" w:type="dxa"/>
          </w:tcPr>
          <w:p>
            <w:pPr>
              <w:pStyle w:val="TableParagraph"/>
              <w:spacing w:line="399" w:lineRule="exact"/>
              <w:ind w:left="175" w:right="175"/>
              <w:jc w:val="center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FUNDAÇÃO HOSPITAL SANTA LYDIA</w:t>
            </w:r>
          </w:p>
        </w:tc>
      </w:tr>
      <w:tr>
        <w:trPr>
          <w:trHeight w:val="290" w:hRule="atLeast"/>
        </w:trPr>
        <w:tc>
          <w:tcPr>
            <w:tcW w:w="6721" w:type="dxa"/>
          </w:tcPr>
          <w:p>
            <w:pPr>
              <w:pStyle w:val="TableParagraph"/>
              <w:spacing w:line="240" w:lineRule="auto" w:before="15"/>
              <w:ind w:left="175" w:right="17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Rua Tamandaré, 434 – CEP 14.085-070 - Campos Elíseos</w:t>
            </w:r>
          </w:p>
        </w:tc>
      </w:tr>
      <w:tr>
        <w:trPr>
          <w:trHeight w:val="285" w:hRule="atLeast"/>
        </w:trPr>
        <w:tc>
          <w:tcPr>
            <w:tcW w:w="6721" w:type="dxa"/>
          </w:tcPr>
          <w:p>
            <w:pPr>
              <w:pStyle w:val="TableParagraph"/>
              <w:spacing w:line="252" w:lineRule="exact" w:before="14"/>
              <w:ind w:left="175" w:right="17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Ribeirão Preto – S.P. – Tel.(16) 3605 4848</w:t>
            </w:r>
          </w:p>
        </w:tc>
      </w:tr>
      <w:tr>
        <w:trPr>
          <w:trHeight w:val="238" w:hRule="atLeast"/>
        </w:trPr>
        <w:tc>
          <w:tcPr>
            <w:tcW w:w="6721" w:type="dxa"/>
          </w:tcPr>
          <w:p>
            <w:pPr>
              <w:pStyle w:val="TableParagraph"/>
              <w:spacing w:line="210" w:lineRule="exact" w:before="9"/>
              <w:ind w:left="169" w:right="1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CNPJ-MF nº 13.370.183/0001-89 Inscr. Municipal nº 149977/01</w:t>
            </w:r>
          </w:p>
        </w:tc>
      </w:tr>
    </w:tbl>
    <w:p>
      <w:pPr>
        <w:pStyle w:val="BodyText"/>
        <w:spacing w:before="2"/>
        <w:rPr>
          <w:b/>
        </w:rPr>
      </w:pPr>
    </w:p>
    <w:p>
      <w:pPr>
        <w:spacing w:before="0"/>
        <w:ind w:left="4393" w:right="0" w:firstLine="0"/>
        <w:jc w:val="left"/>
        <w:rPr>
          <w:b/>
          <w:sz w:val="24"/>
        </w:rPr>
      </w:pPr>
      <w:r>
        <w:rPr>
          <w:b/>
          <w:sz w:val="24"/>
        </w:rPr>
        <w:t>Execução dos Contratos de Gestão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spacing w:line="259" w:lineRule="auto" w:before="56"/>
        <w:ind w:left="1298" w:hanging="548"/>
      </w:pPr>
      <w:r>
        <w:rPr/>
        <w:t>A Fundação Hospital Santa Lydia apresenta, conforme previsto no Art. 4°, §2°, da Lei 2.415/2010, rel orçamentária para prestar contas de seus respectivos Contratos de Gestão, referente ao exerc</w:t>
      </w:r>
    </w:p>
    <w:p>
      <w:pPr>
        <w:spacing w:after="0" w:line="259" w:lineRule="auto"/>
        <w:sectPr>
          <w:headerReference w:type="default" r:id="rId6"/>
          <w:pgSz w:w="11910" w:h="16840"/>
          <w:pgMar w:header="1193" w:footer="0" w:top="1420" w:bottom="280" w:left="600" w:right="1400"/>
        </w:sectPr>
      </w:pPr>
    </w:p>
    <w:p>
      <w:pPr>
        <w:pStyle w:val="BodyText"/>
        <w:spacing w:before="10"/>
        <w:rPr>
          <w:rFonts w:ascii="Times New Roman"/>
          <w:sz w:val="21"/>
        </w:rPr>
      </w:pPr>
    </w:p>
    <w:tbl>
      <w:tblPr>
        <w:tblW w:w="0" w:type="auto"/>
        <w:jc w:val="left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8"/>
        <w:gridCol w:w="2287"/>
        <w:gridCol w:w="2287"/>
      </w:tblGrid>
      <w:tr>
        <w:trPr>
          <w:trHeight w:val="474" w:hRule="atLeast"/>
        </w:trPr>
        <w:tc>
          <w:tcPr>
            <w:tcW w:w="5048" w:type="dxa"/>
          </w:tcPr>
          <w:p>
            <w:pPr>
              <w:pStyle w:val="TableParagraph"/>
              <w:spacing w:line="240" w:lineRule="auto" w:before="104"/>
              <w:ind w:left="16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Categoria de Despesa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 w:before="104"/>
              <w:ind w:left="5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Orçado (2022)</w:t>
            </w:r>
          </w:p>
        </w:tc>
        <w:tc>
          <w:tcPr>
            <w:tcW w:w="2287" w:type="dxa"/>
          </w:tcPr>
          <w:p>
            <w:pPr>
              <w:pStyle w:val="TableParagraph"/>
              <w:spacing w:line="240" w:lineRule="auto" w:before="104"/>
              <w:ind w:left="46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Realizado (2022)</w:t>
            </w:r>
          </w:p>
        </w:tc>
      </w:tr>
      <w:tr>
        <w:trPr>
          <w:trHeight w:val="227" w:hRule="atLeast"/>
        </w:trPr>
        <w:tc>
          <w:tcPr>
            <w:tcW w:w="5048" w:type="dxa"/>
          </w:tcPr>
          <w:p>
            <w:pPr>
              <w:pStyle w:val="TableParagraph"/>
              <w:ind w:left="35"/>
              <w:jc w:val="left"/>
              <w:rPr>
                <w:rFonts w:ascii="Calibri Light"/>
                <w:b w:val="0"/>
                <w:sz w:val="20"/>
              </w:rPr>
            </w:pPr>
            <w:r>
              <w:rPr>
                <w:rFonts w:ascii="Calibri Light"/>
                <w:b w:val="0"/>
                <w:sz w:val="20"/>
              </w:rPr>
              <w:t>Outros Materiais de Consumo</w:t>
            </w:r>
          </w:p>
        </w:tc>
        <w:tc>
          <w:tcPr>
            <w:tcW w:w="2287" w:type="dxa"/>
          </w:tcPr>
          <w:p>
            <w:pPr>
              <w:pStyle w:val="TableParagraph"/>
              <w:ind w:right="73"/>
              <w:rPr>
                <w:sz w:val="20"/>
              </w:rPr>
            </w:pPr>
            <w:r>
              <w:rPr>
                <w:sz w:val="20"/>
              </w:rPr>
              <w:t>966.167,96</w:t>
            </w:r>
          </w:p>
        </w:tc>
        <w:tc>
          <w:tcPr>
            <w:tcW w:w="2287" w:type="dxa"/>
          </w:tcPr>
          <w:p>
            <w:pPr>
              <w:pStyle w:val="TableParagraph"/>
              <w:ind w:right="72"/>
              <w:rPr>
                <w:sz w:val="20"/>
              </w:rPr>
            </w:pPr>
            <w:r>
              <w:rPr>
                <w:sz w:val="20"/>
              </w:rPr>
              <w:t>742.872,91</w:t>
            </w:r>
          </w:p>
        </w:tc>
      </w:tr>
      <w:tr>
        <w:trPr>
          <w:trHeight w:val="227" w:hRule="atLeast"/>
        </w:trPr>
        <w:tc>
          <w:tcPr>
            <w:tcW w:w="5048" w:type="dxa"/>
          </w:tcPr>
          <w:p>
            <w:pPr>
              <w:pStyle w:val="TableParagraph"/>
              <w:ind w:left="35"/>
              <w:jc w:val="left"/>
              <w:rPr>
                <w:rFonts w:ascii="Calibri Light"/>
                <w:b w:val="0"/>
                <w:sz w:val="20"/>
              </w:rPr>
            </w:pPr>
            <w:r>
              <w:rPr>
                <w:rFonts w:ascii="Calibri Light"/>
                <w:b w:val="0"/>
                <w:sz w:val="20"/>
              </w:rPr>
              <w:t>Medicamentos</w:t>
            </w:r>
          </w:p>
        </w:tc>
        <w:tc>
          <w:tcPr>
            <w:tcW w:w="2287" w:type="dxa"/>
          </w:tcPr>
          <w:p>
            <w:pPr>
              <w:pStyle w:val="TableParagraph"/>
              <w:ind w:right="73"/>
              <w:rPr>
                <w:sz w:val="20"/>
              </w:rPr>
            </w:pPr>
            <w:r>
              <w:rPr>
                <w:sz w:val="20"/>
              </w:rPr>
              <w:t>776.885,76</w:t>
            </w:r>
          </w:p>
        </w:tc>
        <w:tc>
          <w:tcPr>
            <w:tcW w:w="2287" w:type="dxa"/>
          </w:tcPr>
          <w:p>
            <w:pPr>
              <w:pStyle w:val="TableParagraph"/>
              <w:ind w:right="72"/>
              <w:rPr>
                <w:sz w:val="20"/>
              </w:rPr>
            </w:pPr>
            <w:r>
              <w:rPr>
                <w:sz w:val="20"/>
              </w:rPr>
              <w:t>1.784.549,16</w:t>
            </w:r>
          </w:p>
        </w:tc>
      </w:tr>
      <w:tr>
        <w:trPr>
          <w:trHeight w:val="227" w:hRule="atLeast"/>
        </w:trPr>
        <w:tc>
          <w:tcPr>
            <w:tcW w:w="5048" w:type="dxa"/>
          </w:tcPr>
          <w:p>
            <w:pPr>
              <w:pStyle w:val="TableParagraph"/>
              <w:ind w:left="35"/>
              <w:jc w:val="left"/>
              <w:rPr>
                <w:rFonts w:ascii="Calibri Light" w:hAnsi="Calibri Light"/>
                <w:b w:val="0"/>
                <w:sz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Outros Serviços de Terceiros</w:t>
            </w:r>
          </w:p>
        </w:tc>
        <w:tc>
          <w:tcPr>
            <w:tcW w:w="2287" w:type="dxa"/>
          </w:tcPr>
          <w:p>
            <w:pPr>
              <w:pStyle w:val="TableParagraph"/>
              <w:ind w:right="73"/>
              <w:rPr>
                <w:sz w:val="20"/>
              </w:rPr>
            </w:pPr>
            <w:r>
              <w:rPr>
                <w:sz w:val="20"/>
              </w:rPr>
              <w:t>1.722.000,00</w:t>
            </w:r>
          </w:p>
        </w:tc>
        <w:tc>
          <w:tcPr>
            <w:tcW w:w="2287" w:type="dxa"/>
          </w:tcPr>
          <w:p>
            <w:pPr>
              <w:pStyle w:val="TableParagraph"/>
              <w:ind w:right="72"/>
              <w:rPr>
                <w:sz w:val="20"/>
              </w:rPr>
            </w:pPr>
            <w:r>
              <w:rPr>
                <w:sz w:val="20"/>
              </w:rPr>
              <w:t>1.928.130,18</w:t>
            </w:r>
          </w:p>
        </w:tc>
      </w:tr>
      <w:tr>
        <w:trPr>
          <w:trHeight w:val="227" w:hRule="atLeast"/>
        </w:trPr>
        <w:tc>
          <w:tcPr>
            <w:tcW w:w="5048" w:type="dxa"/>
          </w:tcPr>
          <w:p>
            <w:pPr>
              <w:pStyle w:val="TableParagraph"/>
              <w:ind w:left="35"/>
              <w:jc w:val="left"/>
              <w:rPr>
                <w:rFonts w:ascii="Calibri Light"/>
                <w:b w:val="0"/>
                <w:sz w:val="20"/>
              </w:rPr>
            </w:pPr>
            <w:r>
              <w:rPr>
                <w:rFonts w:ascii="Calibri Light"/>
                <w:b w:val="0"/>
                <w:sz w:val="20"/>
              </w:rPr>
              <w:t>Recursos Humanos</w:t>
            </w:r>
          </w:p>
        </w:tc>
        <w:tc>
          <w:tcPr>
            <w:tcW w:w="2287" w:type="dxa"/>
          </w:tcPr>
          <w:p>
            <w:pPr>
              <w:pStyle w:val="TableParagraph"/>
              <w:ind w:right="73"/>
              <w:rPr>
                <w:sz w:val="20"/>
              </w:rPr>
            </w:pPr>
            <w:r>
              <w:rPr>
                <w:sz w:val="20"/>
              </w:rPr>
              <w:t>8.172.917,53</w:t>
            </w:r>
          </w:p>
        </w:tc>
        <w:tc>
          <w:tcPr>
            <w:tcW w:w="2287" w:type="dxa"/>
          </w:tcPr>
          <w:p>
            <w:pPr>
              <w:pStyle w:val="TableParagraph"/>
              <w:ind w:right="72"/>
              <w:rPr>
                <w:sz w:val="20"/>
              </w:rPr>
            </w:pPr>
            <w:r>
              <w:rPr>
                <w:sz w:val="20"/>
              </w:rPr>
              <w:t>8.828.171,53</w:t>
            </w:r>
          </w:p>
        </w:tc>
      </w:tr>
      <w:tr>
        <w:trPr>
          <w:trHeight w:val="227" w:hRule="atLeast"/>
        </w:trPr>
        <w:tc>
          <w:tcPr>
            <w:tcW w:w="5048" w:type="dxa"/>
          </w:tcPr>
          <w:p>
            <w:pPr>
              <w:pStyle w:val="TableParagraph"/>
              <w:ind w:left="35"/>
              <w:jc w:val="left"/>
              <w:rPr>
                <w:rFonts w:ascii="Calibri Light" w:hAnsi="Calibri Light"/>
                <w:b w:val="0"/>
                <w:sz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Serviços de Terceiros Pessoa Jurídica</w:t>
            </w:r>
          </w:p>
        </w:tc>
        <w:tc>
          <w:tcPr>
            <w:tcW w:w="2287" w:type="dxa"/>
          </w:tcPr>
          <w:p>
            <w:pPr>
              <w:pStyle w:val="TableParagraph"/>
              <w:ind w:right="73"/>
              <w:rPr>
                <w:sz w:val="20"/>
              </w:rPr>
            </w:pPr>
            <w:r>
              <w:rPr>
                <w:sz w:val="20"/>
              </w:rPr>
              <w:t>9.812.360,15</w:t>
            </w:r>
          </w:p>
        </w:tc>
        <w:tc>
          <w:tcPr>
            <w:tcW w:w="2287" w:type="dxa"/>
          </w:tcPr>
          <w:p>
            <w:pPr>
              <w:pStyle w:val="TableParagraph"/>
              <w:ind w:right="72"/>
              <w:rPr>
                <w:sz w:val="20"/>
              </w:rPr>
            </w:pPr>
            <w:r>
              <w:rPr>
                <w:sz w:val="20"/>
              </w:rPr>
              <w:t>8.066.814,37</w:t>
            </w:r>
          </w:p>
        </w:tc>
      </w:tr>
      <w:tr>
        <w:trPr>
          <w:trHeight w:val="227" w:hRule="atLeast"/>
        </w:trPr>
        <w:tc>
          <w:tcPr>
            <w:tcW w:w="5048" w:type="dxa"/>
          </w:tcPr>
          <w:p>
            <w:pPr>
              <w:pStyle w:val="TableParagraph"/>
              <w:spacing w:line="208" w:lineRule="exact"/>
              <w:ind w:left="35"/>
              <w:jc w:val="left"/>
              <w:rPr>
                <w:rFonts w:ascii="Calibri Light" w:hAnsi="Calibri Light"/>
                <w:b w:val="0"/>
                <w:sz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Locação de Equipamentos</w:t>
            </w:r>
          </w:p>
        </w:tc>
        <w:tc>
          <w:tcPr>
            <w:tcW w:w="2287" w:type="dxa"/>
          </w:tcPr>
          <w:p>
            <w:pPr>
              <w:pStyle w:val="TableParagraph"/>
              <w:spacing w:line="208" w:lineRule="exact"/>
              <w:ind w:right="73"/>
              <w:rPr>
                <w:sz w:val="20"/>
              </w:rPr>
            </w:pPr>
            <w:r>
              <w:rPr>
                <w:sz w:val="20"/>
              </w:rPr>
              <w:t>438.000,00</w:t>
            </w:r>
          </w:p>
        </w:tc>
        <w:tc>
          <w:tcPr>
            <w:tcW w:w="2287" w:type="dxa"/>
          </w:tcPr>
          <w:p>
            <w:pPr>
              <w:pStyle w:val="TableParagraph"/>
              <w:spacing w:line="208" w:lineRule="exact"/>
              <w:ind w:right="72"/>
              <w:rPr>
                <w:sz w:val="20"/>
              </w:rPr>
            </w:pPr>
            <w:r>
              <w:rPr>
                <w:sz w:val="20"/>
              </w:rPr>
              <w:t>421.024,71</w:t>
            </w:r>
          </w:p>
        </w:tc>
      </w:tr>
      <w:tr>
        <w:trPr>
          <w:trHeight w:val="227" w:hRule="atLeast"/>
        </w:trPr>
        <w:tc>
          <w:tcPr>
            <w:tcW w:w="5048" w:type="dxa"/>
          </w:tcPr>
          <w:p>
            <w:pPr>
              <w:pStyle w:val="TableParagraph"/>
              <w:ind w:left="35"/>
              <w:jc w:val="left"/>
              <w:rPr>
                <w:rFonts w:ascii="Calibri Light" w:hAnsi="Calibri Light"/>
                <w:b w:val="0"/>
                <w:sz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Utilidades Públicas</w:t>
            </w:r>
          </w:p>
        </w:tc>
        <w:tc>
          <w:tcPr>
            <w:tcW w:w="2287" w:type="dxa"/>
          </w:tcPr>
          <w:p>
            <w:pPr>
              <w:pStyle w:val="TableParagraph"/>
              <w:ind w:right="73"/>
              <w:rPr>
                <w:sz w:val="20"/>
              </w:rPr>
            </w:pPr>
            <w:r>
              <w:rPr>
                <w:sz w:val="20"/>
              </w:rPr>
              <w:t>391.200,00</w:t>
            </w:r>
          </w:p>
        </w:tc>
        <w:tc>
          <w:tcPr>
            <w:tcW w:w="2287" w:type="dxa"/>
          </w:tcPr>
          <w:p>
            <w:pPr>
              <w:pStyle w:val="TableParagraph"/>
              <w:ind w:right="72"/>
              <w:rPr>
                <w:sz w:val="20"/>
              </w:rPr>
            </w:pPr>
            <w:r>
              <w:rPr>
                <w:sz w:val="20"/>
              </w:rPr>
              <w:t>484.158,43</w:t>
            </w:r>
          </w:p>
        </w:tc>
      </w:tr>
      <w:tr>
        <w:trPr>
          <w:trHeight w:val="227" w:hRule="atLeast"/>
        </w:trPr>
        <w:tc>
          <w:tcPr>
            <w:tcW w:w="5048" w:type="dxa"/>
          </w:tcPr>
          <w:p>
            <w:pPr>
              <w:pStyle w:val="TableParagraph"/>
              <w:ind w:left="35"/>
              <w:jc w:val="left"/>
              <w:rPr>
                <w:rFonts w:ascii="Calibri Light" w:hAnsi="Calibri Light"/>
                <w:b w:val="0"/>
                <w:sz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Laboratório</w:t>
            </w:r>
          </w:p>
        </w:tc>
        <w:tc>
          <w:tcPr>
            <w:tcW w:w="2287" w:type="dxa"/>
          </w:tcPr>
          <w:p>
            <w:pPr>
              <w:pStyle w:val="TableParagraph"/>
              <w:ind w:right="73"/>
              <w:rPr>
                <w:sz w:val="20"/>
              </w:rPr>
            </w:pPr>
            <w:r>
              <w:rPr>
                <w:sz w:val="20"/>
              </w:rPr>
              <w:t>567.943,92</w:t>
            </w:r>
          </w:p>
        </w:tc>
        <w:tc>
          <w:tcPr>
            <w:tcW w:w="2287" w:type="dxa"/>
          </w:tcPr>
          <w:p>
            <w:pPr>
              <w:pStyle w:val="TableParagraph"/>
              <w:ind w:right="72"/>
              <w:rPr>
                <w:sz w:val="20"/>
              </w:rPr>
            </w:pPr>
            <w:r>
              <w:rPr>
                <w:sz w:val="20"/>
              </w:rPr>
              <w:t>281.144,86</w:t>
            </w:r>
          </w:p>
        </w:tc>
      </w:tr>
      <w:tr>
        <w:trPr>
          <w:trHeight w:val="227" w:hRule="atLeast"/>
        </w:trPr>
        <w:tc>
          <w:tcPr>
            <w:tcW w:w="5048" w:type="dxa"/>
          </w:tcPr>
          <w:p>
            <w:pPr>
              <w:pStyle w:val="TableParagraph"/>
              <w:ind w:left="35"/>
              <w:jc w:val="left"/>
              <w:rPr>
                <w:rFonts w:ascii="Calibri Light" w:hAnsi="Calibri Light"/>
                <w:b w:val="0"/>
                <w:sz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Serviços de Apoio e Compartilhados da FHSL</w:t>
            </w:r>
          </w:p>
        </w:tc>
        <w:tc>
          <w:tcPr>
            <w:tcW w:w="2287" w:type="dxa"/>
          </w:tcPr>
          <w:p>
            <w:pPr>
              <w:pStyle w:val="TableParagraph"/>
              <w:ind w:right="73"/>
              <w:rPr>
                <w:sz w:val="20"/>
              </w:rPr>
            </w:pPr>
            <w:r>
              <w:rPr>
                <w:sz w:val="20"/>
              </w:rPr>
              <w:t>1.501.829,13</w:t>
            </w:r>
          </w:p>
        </w:tc>
        <w:tc>
          <w:tcPr>
            <w:tcW w:w="2287" w:type="dxa"/>
          </w:tcPr>
          <w:p>
            <w:pPr>
              <w:pStyle w:val="TableParagraph"/>
              <w:ind w:right="72"/>
              <w:rPr>
                <w:sz w:val="20"/>
              </w:rPr>
            </w:pPr>
            <w:r>
              <w:rPr>
                <w:sz w:val="20"/>
              </w:rPr>
              <w:t>2.678.512,38</w:t>
            </w:r>
          </w:p>
        </w:tc>
      </w:tr>
      <w:tr>
        <w:trPr>
          <w:trHeight w:val="227" w:hRule="atLeast"/>
        </w:trPr>
        <w:tc>
          <w:tcPr>
            <w:tcW w:w="5048" w:type="dxa"/>
          </w:tcPr>
          <w:p>
            <w:pPr>
              <w:pStyle w:val="TableParagraph"/>
              <w:ind w:left="35"/>
              <w:jc w:val="left"/>
              <w:rPr>
                <w:rFonts w:ascii="Calibri Light"/>
                <w:b w:val="0"/>
                <w:sz w:val="20"/>
              </w:rPr>
            </w:pPr>
            <w:r>
              <w:rPr>
                <w:rFonts w:ascii="Calibri Light"/>
                <w:b w:val="0"/>
                <w:sz w:val="20"/>
              </w:rPr>
              <w:t>Outras Despesas</w:t>
            </w:r>
          </w:p>
        </w:tc>
        <w:tc>
          <w:tcPr>
            <w:tcW w:w="2287" w:type="dxa"/>
          </w:tcPr>
          <w:p>
            <w:pPr>
              <w:pStyle w:val="TableParagraph"/>
              <w:ind w:right="73"/>
              <w:rPr>
                <w:sz w:val="20"/>
              </w:rPr>
            </w:pPr>
            <w:r>
              <w:rPr>
                <w:sz w:val="20"/>
              </w:rPr>
              <w:t>42.000,00</w:t>
            </w:r>
          </w:p>
        </w:tc>
        <w:tc>
          <w:tcPr>
            <w:tcW w:w="2287" w:type="dxa"/>
          </w:tcPr>
          <w:p>
            <w:pPr>
              <w:pStyle w:val="TableParagraph"/>
              <w:ind w:right="72"/>
              <w:rPr>
                <w:sz w:val="20"/>
              </w:rPr>
            </w:pPr>
            <w:r>
              <w:rPr>
                <w:sz w:val="20"/>
              </w:rPr>
              <w:t>41.512,77</w:t>
            </w:r>
          </w:p>
        </w:tc>
      </w:tr>
      <w:tr>
        <w:trPr>
          <w:trHeight w:val="227" w:hRule="atLeast"/>
        </w:trPr>
        <w:tc>
          <w:tcPr>
            <w:tcW w:w="5048" w:type="dxa"/>
          </w:tcPr>
          <w:p>
            <w:pPr>
              <w:pStyle w:val="TableParagraph"/>
              <w:ind w:left="35"/>
              <w:jc w:val="left"/>
              <w:rPr>
                <w:rFonts w:ascii="Calibri Light" w:hAnsi="Calibri Light"/>
                <w:b w:val="0"/>
                <w:sz w:val="20"/>
              </w:rPr>
            </w:pPr>
            <w:r>
              <w:rPr>
                <w:rFonts w:ascii="Calibri Light" w:hAnsi="Calibri Light"/>
                <w:b w:val="0"/>
                <w:sz w:val="20"/>
              </w:rPr>
              <w:t>Itens não previstos</w:t>
            </w:r>
          </w:p>
        </w:tc>
        <w:tc>
          <w:tcPr>
            <w:tcW w:w="2287" w:type="dxa"/>
          </w:tcPr>
          <w:p>
            <w:pPr>
              <w:pStyle w:val="TableParagraph"/>
              <w:ind w:right="27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287" w:type="dxa"/>
          </w:tcPr>
          <w:p>
            <w:pPr>
              <w:pStyle w:val="TableParagraph"/>
              <w:ind w:right="72"/>
              <w:rPr>
                <w:sz w:val="20"/>
              </w:rPr>
            </w:pPr>
            <w:r>
              <w:rPr>
                <w:sz w:val="20"/>
              </w:rPr>
              <w:t>14.210,00</w:t>
            </w:r>
          </w:p>
        </w:tc>
      </w:tr>
      <w:tr>
        <w:trPr>
          <w:trHeight w:val="227" w:hRule="atLeast"/>
        </w:trPr>
        <w:tc>
          <w:tcPr>
            <w:tcW w:w="5048" w:type="dxa"/>
          </w:tcPr>
          <w:p>
            <w:pPr>
              <w:pStyle w:val="TableParagraph"/>
              <w:ind w:left="35"/>
              <w:jc w:val="left"/>
              <w:rPr>
                <w:rFonts w:ascii="Calibri Light"/>
                <w:b w:val="0"/>
                <w:sz w:val="20"/>
              </w:rPr>
            </w:pPr>
            <w:r>
              <w:rPr>
                <w:rFonts w:ascii="Calibri Light"/>
                <w:b w:val="0"/>
                <w:sz w:val="20"/>
              </w:rPr>
              <w:t>TOTAL</w:t>
            </w:r>
          </w:p>
        </w:tc>
        <w:tc>
          <w:tcPr>
            <w:tcW w:w="2287" w:type="dxa"/>
          </w:tcPr>
          <w:p>
            <w:pPr>
              <w:pStyle w:val="TableParagraph"/>
              <w:ind w:right="73"/>
              <w:rPr>
                <w:sz w:val="20"/>
              </w:rPr>
            </w:pPr>
            <w:r>
              <w:rPr>
                <w:sz w:val="20"/>
              </w:rPr>
              <w:t>24.391.304,45</w:t>
            </w:r>
          </w:p>
        </w:tc>
        <w:tc>
          <w:tcPr>
            <w:tcW w:w="2287" w:type="dxa"/>
          </w:tcPr>
          <w:p>
            <w:pPr>
              <w:pStyle w:val="TableParagraph"/>
              <w:ind w:right="73"/>
              <w:rPr>
                <w:sz w:val="20"/>
              </w:rPr>
            </w:pPr>
            <w:r>
              <w:rPr>
                <w:sz w:val="20"/>
              </w:rPr>
              <w:t>25.271.101,30</w:t>
            </w:r>
          </w:p>
        </w:tc>
      </w:tr>
    </w:tbl>
    <w:p>
      <w:pPr>
        <w:spacing w:after="0"/>
        <w:rPr>
          <w:sz w:val="20"/>
        </w:rPr>
        <w:sectPr>
          <w:headerReference w:type="default" r:id="rId7"/>
          <w:pgSz w:w="11910" w:h="16840"/>
          <w:pgMar w:header="1193" w:footer="0" w:top="1420" w:bottom="280" w:left="600" w:right="14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8"/>
        </w:rPr>
      </w:pPr>
    </w:p>
    <w:p>
      <w:pPr>
        <w:pStyle w:val="BodyText"/>
        <w:spacing w:line="259" w:lineRule="auto" w:before="56"/>
        <w:ind w:left="134" w:right="8073" w:hanging="18"/>
      </w:pPr>
      <w:r>
        <w:rPr/>
        <w:pict>
          <v:line style="position:absolute;mso-position-horizontal-relative:page;mso-position-vertical-relative:paragraph;z-index:251658240" from="37.380001pt,75.373627pt" to="152.120001pt,75.373627pt" stroked="true" strokeweight=".140pt" strokecolor="#000000">
            <v:stroke dashstyle="solid"/>
            <w10:wrap type="none"/>
          </v:line>
        </w:pict>
      </w:r>
      <w:r>
        <w:rPr/>
        <w:t>atório de execução ício de</w:t>
      </w:r>
      <w:r>
        <w:rPr>
          <w:spacing w:val="2"/>
        </w:rPr>
        <w:t> </w:t>
      </w:r>
      <w:r>
        <w:rPr/>
        <w:t>2022.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1"/>
        </w:rPr>
      </w:pPr>
    </w:p>
    <w:tbl>
      <w:tblPr>
        <w:tblW w:w="0" w:type="auto"/>
        <w:jc w:val="left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8"/>
      </w:tblGrid>
      <w:tr>
        <w:trPr>
          <w:trHeight w:val="474" w:hRule="atLeast"/>
        </w:trPr>
        <w:tc>
          <w:tcPr>
            <w:tcW w:w="2288" w:type="dxa"/>
            <w:tcBorders>
              <w:left w:val="nil"/>
            </w:tcBorders>
          </w:tcPr>
          <w:p>
            <w:pPr>
              <w:pStyle w:val="TableParagraph"/>
              <w:spacing w:line="240" w:lineRule="auto" w:before="104"/>
              <w:ind w:left="286" w:right="2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Proporção Realizado</w:t>
            </w:r>
          </w:p>
        </w:tc>
      </w:tr>
      <w:tr>
        <w:trPr>
          <w:trHeight w:val="227" w:hRule="atLeast"/>
        </w:trPr>
        <w:tc>
          <w:tcPr>
            <w:tcW w:w="2288" w:type="dxa"/>
          </w:tcPr>
          <w:p>
            <w:pPr>
              <w:pStyle w:val="TableParagraph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2288" w:type="dxa"/>
          </w:tcPr>
          <w:p>
            <w:pPr>
              <w:pStyle w:val="TableParagraph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2288" w:type="dxa"/>
          </w:tcPr>
          <w:p>
            <w:pPr>
              <w:pStyle w:val="TableParagraph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2288" w:type="dxa"/>
          </w:tcPr>
          <w:p>
            <w:pPr>
              <w:pStyle w:val="TableParagraph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2288" w:type="dxa"/>
          </w:tcPr>
          <w:p>
            <w:pPr>
              <w:pStyle w:val="TableParagraph"/>
              <w:ind w:left="909" w:right="871"/>
              <w:jc w:val="center"/>
              <w:rPr>
                <w:sz w:val="20"/>
              </w:rPr>
            </w:pPr>
            <w:r>
              <w:rPr>
                <w:sz w:val="20"/>
              </w:rPr>
              <w:t>95%</w:t>
            </w:r>
          </w:p>
        </w:tc>
      </w:tr>
      <w:tr>
        <w:trPr>
          <w:trHeight w:val="227" w:hRule="atLeast"/>
        </w:trPr>
        <w:tc>
          <w:tcPr>
            <w:tcW w:w="2288" w:type="dxa"/>
          </w:tcPr>
          <w:p>
            <w:pPr>
              <w:pStyle w:val="TableParagraph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2288" w:type="dxa"/>
          </w:tcPr>
          <w:p>
            <w:pPr>
              <w:pStyle w:val="TableParagraph"/>
              <w:spacing w:line="208" w:lineRule="exact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2288" w:type="dxa"/>
          </w:tcPr>
          <w:p>
            <w:pPr>
              <w:pStyle w:val="TableParagraph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2288" w:type="dxa"/>
          </w:tcPr>
          <w:p>
            <w:pPr>
              <w:pStyle w:val="TableParagraph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2288" w:type="dxa"/>
          </w:tcPr>
          <w:p>
            <w:pPr>
              <w:pStyle w:val="TableParagraph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2288" w:type="dxa"/>
          </w:tcPr>
          <w:p>
            <w:pPr>
              <w:pStyle w:val="TableParagraph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2288" w:type="dxa"/>
          </w:tcPr>
          <w:p>
            <w:pPr>
              <w:pStyle w:val="TableParagraph"/>
              <w:ind w:left="909" w:right="871"/>
              <w:jc w:val="center"/>
              <w:rPr>
                <w:sz w:val="20"/>
              </w:rPr>
            </w:pPr>
            <w:r>
              <w:rPr>
                <w:sz w:val="20"/>
              </w:rPr>
              <w:t>95%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tbl>
      <w:tblPr>
        <w:tblW w:w="0" w:type="auto"/>
        <w:jc w:val="left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8"/>
      </w:tblGrid>
      <w:tr>
        <w:trPr>
          <w:trHeight w:val="474" w:hRule="atLeast"/>
        </w:trPr>
        <w:tc>
          <w:tcPr>
            <w:tcW w:w="2288" w:type="dxa"/>
            <w:tcBorders>
              <w:left w:val="nil"/>
            </w:tcBorders>
          </w:tcPr>
          <w:p>
            <w:pPr>
              <w:pStyle w:val="TableParagraph"/>
              <w:spacing w:line="240" w:lineRule="auto" w:before="104"/>
              <w:ind w:left="286" w:right="2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Proporção Realizado</w:t>
            </w:r>
          </w:p>
        </w:tc>
      </w:tr>
      <w:tr>
        <w:trPr>
          <w:trHeight w:val="227" w:hRule="atLeast"/>
        </w:trPr>
        <w:tc>
          <w:tcPr>
            <w:tcW w:w="2288" w:type="dxa"/>
          </w:tcPr>
          <w:p>
            <w:pPr>
              <w:pStyle w:val="TableParagraph"/>
              <w:ind w:left="909" w:right="871"/>
              <w:jc w:val="center"/>
              <w:rPr>
                <w:sz w:val="20"/>
              </w:rPr>
            </w:pPr>
            <w:r>
              <w:rPr>
                <w:sz w:val="20"/>
              </w:rPr>
              <w:t>46%</w:t>
            </w:r>
          </w:p>
        </w:tc>
      </w:tr>
      <w:tr>
        <w:trPr>
          <w:trHeight w:val="227" w:hRule="atLeast"/>
        </w:trPr>
        <w:tc>
          <w:tcPr>
            <w:tcW w:w="2288" w:type="dxa"/>
          </w:tcPr>
          <w:p>
            <w:pPr>
              <w:pStyle w:val="TableParagraph"/>
              <w:ind w:left="909" w:right="871"/>
              <w:jc w:val="center"/>
              <w:rPr>
                <w:sz w:val="20"/>
              </w:rPr>
            </w:pPr>
            <w:r>
              <w:rPr>
                <w:sz w:val="20"/>
              </w:rPr>
              <w:t>123%</w:t>
            </w:r>
          </w:p>
        </w:tc>
      </w:tr>
      <w:tr>
        <w:trPr>
          <w:trHeight w:val="227" w:hRule="atLeast"/>
        </w:trPr>
        <w:tc>
          <w:tcPr>
            <w:tcW w:w="2288" w:type="dxa"/>
          </w:tcPr>
          <w:p>
            <w:pPr>
              <w:pStyle w:val="TableParagraph"/>
              <w:spacing w:line="208" w:lineRule="exact"/>
              <w:ind w:left="909" w:right="871"/>
              <w:jc w:val="center"/>
              <w:rPr>
                <w:sz w:val="20"/>
              </w:rPr>
            </w:pPr>
            <w:r>
              <w:rPr>
                <w:sz w:val="20"/>
              </w:rPr>
              <w:t>84%</w:t>
            </w:r>
          </w:p>
        </w:tc>
      </w:tr>
      <w:tr>
        <w:trPr>
          <w:trHeight w:val="227" w:hRule="atLeast"/>
        </w:trPr>
        <w:tc>
          <w:tcPr>
            <w:tcW w:w="2288" w:type="dxa"/>
          </w:tcPr>
          <w:p>
            <w:pPr>
              <w:pStyle w:val="TableParagraph"/>
              <w:ind w:left="909" w:right="871"/>
              <w:jc w:val="center"/>
              <w:rPr>
                <w:sz w:val="20"/>
              </w:rPr>
            </w:pPr>
            <w:r>
              <w:rPr>
                <w:sz w:val="20"/>
              </w:rPr>
              <w:t>108%</w:t>
            </w:r>
          </w:p>
        </w:tc>
      </w:tr>
      <w:tr>
        <w:trPr>
          <w:trHeight w:val="227" w:hRule="atLeast"/>
        </w:trPr>
        <w:tc>
          <w:tcPr>
            <w:tcW w:w="2288" w:type="dxa"/>
          </w:tcPr>
          <w:p>
            <w:pPr>
              <w:pStyle w:val="TableParagraph"/>
              <w:ind w:left="909" w:right="871"/>
              <w:jc w:val="center"/>
              <w:rPr>
                <w:sz w:val="20"/>
              </w:rPr>
            </w:pPr>
            <w:r>
              <w:rPr>
                <w:sz w:val="20"/>
              </w:rPr>
              <w:t>37%</w:t>
            </w:r>
          </w:p>
        </w:tc>
      </w:tr>
      <w:tr>
        <w:trPr>
          <w:trHeight w:val="227" w:hRule="atLeast"/>
        </w:trPr>
        <w:tc>
          <w:tcPr>
            <w:tcW w:w="2288" w:type="dxa"/>
          </w:tcPr>
          <w:p>
            <w:pPr>
              <w:pStyle w:val="TableParagraph"/>
              <w:ind w:left="909" w:right="871"/>
              <w:jc w:val="center"/>
              <w:rPr>
                <w:sz w:val="20"/>
              </w:rPr>
            </w:pPr>
            <w:r>
              <w:rPr>
                <w:sz w:val="20"/>
              </w:rPr>
              <w:t>103%</w:t>
            </w:r>
          </w:p>
        </w:tc>
      </w:tr>
      <w:tr>
        <w:trPr>
          <w:trHeight w:val="227" w:hRule="atLeast"/>
        </w:trPr>
        <w:tc>
          <w:tcPr>
            <w:tcW w:w="2288" w:type="dxa"/>
          </w:tcPr>
          <w:p>
            <w:pPr>
              <w:pStyle w:val="TableParagraph"/>
              <w:ind w:left="909" w:right="871"/>
              <w:jc w:val="center"/>
              <w:rPr>
                <w:sz w:val="20"/>
              </w:rPr>
            </w:pPr>
            <w:r>
              <w:rPr>
                <w:sz w:val="20"/>
              </w:rPr>
              <w:t>288%</w:t>
            </w:r>
          </w:p>
        </w:tc>
      </w:tr>
      <w:tr>
        <w:trPr>
          <w:trHeight w:val="227" w:hRule="atLeast"/>
        </w:trPr>
        <w:tc>
          <w:tcPr>
            <w:tcW w:w="2288" w:type="dxa"/>
          </w:tcPr>
          <w:p>
            <w:pPr>
              <w:pStyle w:val="TableParagraph"/>
              <w:ind w:left="909" w:right="871"/>
              <w:jc w:val="center"/>
              <w:rPr>
                <w:sz w:val="20"/>
              </w:rPr>
            </w:pPr>
            <w:r>
              <w:rPr>
                <w:sz w:val="20"/>
              </w:rPr>
              <w:t>48%</w:t>
            </w:r>
          </w:p>
        </w:tc>
      </w:tr>
      <w:tr>
        <w:trPr>
          <w:trHeight w:val="227" w:hRule="atLeast"/>
        </w:trPr>
        <w:tc>
          <w:tcPr>
            <w:tcW w:w="2288" w:type="dxa"/>
          </w:tcPr>
          <w:p>
            <w:pPr>
              <w:pStyle w:val="TableParagraph"/>
              <w:ind w:left="909" w:right="871"/>
              <w:jc w:val="center"/>
              <w:rPr>
                <w:sz w:val="20"/>
              </w:rPr>
            </w:pPr>
            <w:r>
              <w:rPr>
                <w:sz w:val="20"/>
              </w:rPr>
              <w:t>193%</w:t>
            </w:r>
          </w:p>
        </w:tc>
      </w:tr>
      <w:tr>
        <w:trPr>
          <w:trHeight w:val="227" w:hRule="atLeast"/>
        </w:trPr>
        <w:tc>
          <w:tcPr>
            <w:tcW w:w="2288" w:type="dxa"/>
          </w:tcPr>
          <w:p>
            <w:pPr>
              <w:pStyle w:val="TableParagraph"/>
              <w:ind w:left="909" w:right="871"/>
              <w:jc w:val="center"/>
              <w:rPr>
                <w:sz w:val="20"/>
              </w:rPr>
            </w:pPr>
            <w:r>
              <w:rPr>
                <w:sz w:val="20"/>
              </w:rPr>
              <w:t>1%</w:t>
            </w:r>
          </w:p>
        </w:tc>
      </w:tr>
      <w:tr>
        <w:trPr>
          <w:trHeight w:val="227" w:hRule="atLeast"/>
        </w:trPr>
        <w:tc>
          <w:tcPr>
            <w:tcW w:w="2288" w:type="dxa"/>
          </w:tcPr>
          <w:p>
            <w:pPr>
              <w:pStyle w:val="TableParagraph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2288" w:type="dxa"/>
          </w:tcPr>
          <w:p>
            <w:pPr>
              <w:pStyle w:val="TableParagraph"/>
              <w:ind w:left="909" w:right="871"/>
              <w:jc w:val="center"/>
              <w:rPr>
                <w:sz w:val="20"/>
              </w:rPr>
            </w:pPr>
            <w:r>
              <w:rPr>
                <w:sz w:val="20"/>
              </w:rPr>
              <w:t>103%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259" w:lineRule="auto" w:before="57"/>
        <w:ind w:left="134" w:right="8073" w:hanging="18"/>
      </w:pPr>
      <w:r>
        <w:rPr/>
        <w:t>atório de execução ício de</w:t>
      </w:r>
      <w:r>
        <w:rPr>
          <w:spacing w:val="2"/>
        </w:rPr>
        <w:t> </w:t>
      </w:r>
      <w:r>
        <w:rPr/>
        <w:t>2022.</w:t>
      </w:r>
    </w:p>
    <w:p>
      <w:pPr>
        <w:spacing w:after="0" w:line="259" w:lineRule="auto"/>
        <w:sectPr>
          <w:headerReference w:type="default" r:id="rId8"/>
          <w:pgSz w:w="11910" w:h="16840"/>
          <w:pgMar w:header="0" w:footer="0" w:top="1580" w:bottom="280" w:left="600" w:right="1400"/>
        </w:sectPr>
      </w:pPr>
    </w:p>
    <w:p>
      <w:pPr>
        <w:pStyle w:val="BodyText"/>
        <w:spacing w:before="9"/>
        <w:rPr>
          <w:sz w:val="27"/>
        </w:rPr>
      </w:pPr>
      <w:r>
        <w:rPr/>
        <w:pict>
          <v:line style="position:absolute;mso-position-horizontal-relative:page;mso-position-vertical-relative:page;z-index:251659264" from="37.380001pt,96.679993pt" to="152.120001pt,96.679993pt" stroked="true" strokeweight=".140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8"/>
      </w:tblGrid>
      <w:tr>
        <w:trPr>
          <w:trHeight w:val="474" w:hRule="atLeast"/>
        </w:trPr>
        <w:tc>
          <w:tcPr>
            <w:tcW w:w="2288" w:type="dxa"/>
            <w:tcBorders>
              <w:left w:val="nil"/>
            </w:tcBorders>
          </w:tcPr>
          <w:p>
            <w:pPr>
              <w:pStyle w:val="TableParagraph"/>
              <w:spacing w:line="240" w:lineRule="auto" w:before="104"/>
              <w:ind w:left="286" w:right="2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Proporção Realizado</w:t>
            </w:r>
          </w:p>
        </w:tc>
      </w:tr>
      <w:tr>
        <w:trPr>
          <w:trHeight w:val="227" w:hRule="atLeast"/>
        </w:trPr>
        <w:tc>
          <w:tcPr>
            <w:tcW w:w="2288" w:type="dxa"/>
          </w:tcPr>
          <w:p>
            <w:pPr>
              <w:pStyle w:val="TableParagraph"/>
              <w:ind w:left="909" w:right="871"/>
              <w:jc w:val="center"/>
              <w:rPr>
                <w:sz w:val="20"/>
              </w:rPr>
            </w:pPr>
            <w:r>
              <w:rPr>
                <w:sz w:val="20"/>
              </w:rPr>
              <w:t>229%</w:t>
            </w:r>
          </w:p>
        </w:tc>
      </w:tr>
      <w:tr>
        <w:trPr>
          <w:trHeight w:val="227" w:hRule="atLeast"/>
        </w:trPr>
        <w:tc>
          <w:tcPr>
            <w:tcW w:w="2288" w:type="dxa"/>
          </w:tcPr>
          <w:p>
            <w:pPr>
              <w:pStyle w:val="TableParagraph"/>
              <w:ind w:left="909" w:right="871"/>
              <w:jc w:val="center"/>
              <w:rPr>
                <w:sz w:val="20"/>
              </w:rPr>
            </w:pPr>
            <w:r>
              <w:rPr>
                <w:sz w:val="20"/>
              </w:rPr>
              <w:t>125%</w:t>
            </w:r>
          </w:p>
        </w:tc>
      </w:tr>
      <w:tr>
        <w:trPr>
          <w:trHeight w:val="227" w:hRule="atLeast"/>
        </w:trPr>
        <w:tc>
          <w:tcPr>
            <w:tcW w:w="2288" w:type="dxa"/>
          </w:tcPr>
          <w:p>
            <w:pPr>
              <w:pStyle w:val="TableParagraph"/>
              <w:ind w:left="909" w:right="871"/>
              <w:jc w:val="center"/>
              <w:rPr>
                <w:sz w:val="20"/>
              </w:rPr>
            </w:pPr>
            <w:r>
              <w:rPr>
                <w:sz w:val="20"/>
              </w:rPr>
              <w:t>45%</w:t>
            </w:r>
          </w:p>
        </w:tc>
      </w:tr>
      <w:tr>
        <w:trPr>
          <w:trHeight w:val="227" w:hRule="atLeast"/>
        </w:trPr>
        <w:tc>
          <w:tcPr>
            <w:tcW w:w="2288" w:type="dxa"/>
          </w:tcPr>
          <w:p>
            <w:pPr>
              <w:pStyle w:val="TableParagraph"/>
              <w:ind w:left="909" w:right="871"/>
              <w:jc w:val="center"/>
              <w:rPr>
                <w:sz w:val="20"/>
              </w:rPr>
            </w:pPr>
            <w:r>
              <w:rPr>
                <w:sz w:val="20"/>
              </w:rPr>
              <w:t>107%</w:t>
            </w:r>
          </w:p>
        </w:tc>
      </w:tr>
      <w:tr>
        <w:trPr>
          <w:trHeight w:val="227" w:hRule="atLeast"/>
        </w:trPr>
        <w:tc>
          <w:tcPr>
            <w:tcW w:w="2288" w:type="dxa"/>
          </w:tcPr>
          <w:p>
            <w:pPr>
              <w:pStyle w:val="TableParagraph"/>
              <w:spacing w:line="208" w:lineRule="exact"/>
              <w:ind w:left="909" w:right="871"/>
              <w:jc w:val="center"/>
              <w:rPr>
                <w:sz w:val="20"/>
              </w:rPr>
            </w:pPr>
            <w:r>
              <w:rPr>
                <w:sz w:val="20"/>
              </w:rPr>
              <w:t>48%</w:t>
            </w:r>
          </w:p>
        </w:tc>
      </w:tr>
      <w:tr>
        <w:trPr>
          <w:trHeight w:val="227" w:hRule="atLeast"/>
        </w:trPr>
        <w:tc>
          <w:tcPr>
            <w:tcW w:w="2288" w:type="dxa"/>
          </w:tcPr>
          <w:p>
            <w:pPr>
              <w:pStyle w:val="TableParagraph"/>
              <w:ind w:left="909" w:right="871"/>
              <w:jc w:val="center"/>
              <w:rPr>
                <w:sz w:val="20"/>
              </w:rPr>
            </w:pPr>
            <w:r>
              <w:rPr>
                <w:sz w:val="20"/>
              </w:rPr>
              <w:t>910%</w:t>
            </w:r>
          </w:p>
        </w:tc>
      </w:tr>
      <w:tr>
        <w:trPr>
          <w:trHeight w:val="227" w:hRule="atLeast"/>
        </w:trPr>
        <w:tc>
          <w:tcPr>
            <w:tcW w:w="2288" w:type="dxa"/>
          </w:tcPr>
          <w:p>
            <w:pPr>
              <w:pStyle w:val="TableParagraph"/>
              <w:ind w:left="909" w:right="871"/>
              <w:jc w:val="center"/>
              <w:rPr>
                <w:sz w:val="20"/>
              </w:rPr>
            </w:pPr>
            <w:r>
              <w:rPr>
                <w:sz w:val="20"/>
              </w:rPr>
              <w:t>61%</w:t>
            </w:r>
          </w:p>
        </w:tc>
      </w:tr>
      <w:tr>
        <w:trPr>
          <w:trHeight w:val="227" w:hRule="atLeast"/>
        </w:trPr>
        <w:tc>
          <w:tcPr>
            <w:tcW w:w="2288" w:type="dxa"/>
          </w:tcPr>
          <w:p>
            <w:pPr>
              <w:pStyle w:val="TableParagraph"/>
              <w:ind w:left="909" w:right="871"/>
              <w:jc w:val="center"/>
              <w:rPr>
                <w:sz w:val="20"/>
              </w:rPr>
            </w:pPr>
            <w:r>
              <w:rPr>
                <w:sz w:val="20"/>
              </w:rPr>
              <w:t>179%</w:t>
            </w:r>
          </w:p>
        </w:tc>
      </w:tr>
      <w:tr>
        <w:trPr>
          <w:trHeight w:val="227" w:hRule="atLeast"/>
        </w:trPr>
        <w:tc>
          <w:tcPr>
            <w:tcW w:w="2288" w:type="dxa"/>
          </w:tcPr>
          <w:p>
            <w:pPr>
              <w:pStyle w:val="TableParagraph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2288" w:type="dxa"/>
          </w:tcPr>
          <w:p>
            <w:pPr>
              <w:pStyle w:val="TableParagraph"/>
              <w:ind w:left="909" w:right="871"/>
              <w:jc w:val="center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259" w:lineRule="auto" w:before="57"/>
        <w:ind w:left="134" w:right="8073" w:hanging="18"/>
      </w:pPr>
      <w:r>
        <w:rPr/>
        <w:t>atório de execução ício de</w:t>
      </w:r>
      <w:r>
        <w:rPr>
          <w:spacing w:val="2"/>
        </w:rPr>
        <w:t> </w:t>
      </w:r>
      <w:r>
        <w:rPr/>
        <w:t>2022.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</w:p>
    <w:tbl>
      <w:tblPr>
        <w:tblW w:w="0" w:type="auto"/>
        <w:jc w:val="left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8"/>
      </w:tblGrid>
      <w:tr>
        <w:trPr>
          <w:trHeight w:val="474" w:hRule="atLeast"/>
        </w:trPr>
        <w:tc>
          <w:tcPr>
            <w:tcW w:w="2288" w:type="dxa"/>
            <w:tcBorders>
              <w:left w:val="nil"/>
            </w:tcBorders>
          </w:tcPr>
          <w:p>
            <w:pPr>
              <w:pStyle w:val="TableParagraph"/>
              <w:spacing w:line="240" w:lineRule="auto" w:before="104"/>
              <w:ind w:left="286" w:right="2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Proporção Realizado</w:t>
            </w:r>
          </w:p>
        </w:tc>
      </w:tr>
      <w:tr>
        <w:trPr>
          <w:trHeight w:val="227" w:hRule="atLeast"/>
        </w:trPr>
        <w:tc>
          <w:tcPr>
            <w:tcW w:w="2288" w:type="dxa"/>
          </w:tcPr>
          <w:p>
            <w:pPr>
              <w:pStyle w:val="TableParagraph"/>
              <w:ind w:left="909" w:right="871"/>
              <w:jc w:val="center"/>
              <w:rPr>
                <w:sz w:val="20"/>
              </w:rPr>
            </w:pPr>
            <w:r>
              <w:rPr>
                <w:sz w:val="20"/>
              </w:rPr>
              <w:t>61%</w:t>
            </w:r>
          </w:p>
        </w:tc>
      </w:tr>
      <w:tr>
        <w:trPr>
          <w:trHeight w:val="227" w:hRule="atLeast"/>
        </w:trPr>
        <w:tc>
          <w:tcPr>
            <w:tcW w:w="2288" w:type="dxa"/>
          </w:tcPr>
          <w:p>
            <w:pPr>
              <w:pStyle w:val="TableParagraph"/>
              <w:ind w:left="909" w:right="871"/>
              <w:jc w:val="center"/>
              <w:rPr>
                <w:sz w:val="20"/>
              </w:rPr>
            </w:pPr>
            <w:r>
              <w:rPr>
                <w:sz w:val="20"/>
              </w:rPr>
              <w:t>129%</w:t>
            </w:r>
          </w:p>
        </w:tc>
      </w:tr>
      <w:tr>
        <w:trPr>
          <w:trHeight w:val="227" w:hRule="atLeast"/>
        </w:trPr>
        <w:tc>
          <w:tcPr>
            <w:tcW w:w="2288" w:type="dxa"/>
          </w:tcPr>
          <w:p>
            <w:pPr>
              <w:pStyle w:val="TableParagraph"/>
              <w:ind w:left="909" w:right="871"/>
              <w:jc w:val="center"/>
              <w:rPr>
                <w:sz w:val="20"/>
              </w:rPr>
            </w:pPr>
            <w:r>
              <w:rPr>
                <w:sz w:val="20"/>
              </w:rPr>
              <w:t>81%</w:t>
            </w:r>
          </w:p>
        </w:tc>
      </w:tr>
      <w:tr>
        <w:trPr>
          <w:trHeight w:val="227" w:hRule="atLeast"/>
        </w:trPr>
        <w:tc>
          <w:tcPr>
            <w:tcW w:w="2288" w:type="dxa"/>
          </w:tcPr>
          <w:p>
            <w:pPr>
              <w:pStyle w:val="TableParagraph"/>
              <w:spacing w:line="208" w:lineRule="exact"/>
              <w:ind w:left="909" w:right="871"/>
              <w:jc w:val="center"/>
              <w:rPr>
                <w:sz w:val="20"/>
              </w:rPr>
            </w:pPr>
            <w:r>
              <w:rPr>
                <w:sz w:val="20"/>
              </w:rPr>
              <w:t>115%</w:t>
            </w:r>
          </w:p>
        </w:tc>
      </w:tr>
      <w:tr>
        <w:trPr>
          <w:trHeight w:val="227" w:hRule="atLeast"/>
        </w:trPr>
        <w:tc>
          <w:tcPr>
            <w:tcW w:w="2288" w:type="dxa"/>
          </w:tcPr>
          <w:p>
            <w:pPr>
              <w:pStyle w:val="TableParagraph"/>
              <w:ind w:left="909" w:right="871"/>
              <w:jc w:val="center"/>
              <w:rPr>
                <w:sz w:val="20"/>
              </w:rPr>
            </w:pPr>
            <w:r>
              <w:rPr>
                <w:sz w:val="20"/>
              </w:rPr>
              <w:t>82%</w:t>
            </w:r>
          </w:p>
        </w:tc>
      </w:tr>
      <w:tr>
        <w:trPr>
          <w:trHeight w:val="227" w:hRule="atLeast"/>
        </w:trPr>
        <w:tc>
          <w:tcPr>
            <w:tcW w:w="2288" w:type="dxa"/>
          </w:tcPr>
          <w:p>
            <w:pPr>
              <w:pStyle w:val="TableParagraph"/>
              <w:ind w:left="909" w:right="871"/>
              <w:jc w:val="center"/>
              <w:rPr>
                <w:sz w:val="20"/>
              </w:rPr>
            </w:pPr>
            <w:r>
              <w:rPr>
                <w:sz w:val="20"/>
              </w:rPr>
              <w:t>94%</w:t>
            </w:r>
          </w:p>
        </w:tc>
      </w:tr>
      <w:tr>
        <w:trPr>
          <w:trHeight w:val="227" w:hRule="atLeast"/>
        </w:trPr>
        <w:tc>
          <w:tcPr>
            <w:tcW w:w="2288" w:type="dxa"/>
          </w:tcPr>
          <w:p>
            <w:pPr>
              <w:pStyle w:val="TableParagraph"/>
              <w:ind w:left="909" w:right="871"/>
              <w:jc w:val="center"/>
              <w:rPr>
                <w:sz w:val="20"/>
              </w:rPr>
            </w:pPr>
            <w:r>
              <w:rPr>
                <w:sz w:val="20"/>
              </w:rPr>
              <w:t>108%</w:t>
            </w:r>
          </w:p>
        </w:tc>
      </w:tr>
      <w:tr>
        <w:trPr>
          <w:trHeight w:val="227" w:hRule="atLeast"/>
        </w:trPr>
        <w:tc>
          <w:tcPr>
            <w:tcW w:w="2288" w:type="dxa"/>
          </w:tcPr>
          <w:p>
            <w:pPr>
              <w:pStyle w:val="TableParagraph"/>
              <w:ind w:left="909" w:right="871"/>
              <w:jc w:val="center"/>
              <w:rPr>
                <w:sz w:val="20"/>
              </w:rPr>
            </w:pPr>
            <w:r>
              <w:rPr>
                <w:sz w:val="20"/>
              </w:rPr>
              <w:t>32%</w:t>
            </w:r>
          </w:p>
        </w:tc>
      </w:tr>
      <w:tr>
        <w:trPr>
          <w:trHeight w:val="227" w:hRule="atLeast"/>
        </w:trPr>
        <w:tc>
          <w:tcPr>
            <w:tcW w:w="2288" w:type="dxa"/>
          </w:tcPr>
          <w:p>
            <w:pPr>
              <w:pStyle w:val="TableParagraph"/>
              <w:ind w:left="909" w:right="871"/>
              <w:jc w:val="center"/>
              <w:rPr>
                <w:sz w:val="20"/>
              </w:rPr>
            </w:pPr>
            <w:r>
              <w:rPr>
                <w:sz w:val="20"/>
              </w:rPr>
              <w:t>230%</w:t>
            </w:r>
          </w:p>
        </w:tc>
      </w:tr>
      <w:tr>
        <w:trPr>
          <w:trHeight w:val="227" w:hRule="atLeast"/>
        </w:trPr>
        <w:tc>
          <w:tcPr>
            <w:tcW w:w="2288" w:type="dxa"/>
          </w:tcPr>
          <w:p>
            <w:pPr>
              <w:pStyle w:val="TableParagraph"/>
              <w:ind w:left="909" w:right="871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>
        <w:trPr>
          <w:trHeight w:val="227" w:hRule="atLeast"/>
        </w:trPr>
        <w:tc>
          <w:tcPr>
            <w:tcW w:w="2288" w:type="dxa"/>
          </w:tcPr>
          <w:p>
            <w:pPr>
              <w:pStyle w:val="TableParagraph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2288" w:type="dxa"/>
          </w:tcPr>
          <w:p>
            <w:pPr>
              <w:pStyle w:val="TableParagraph"/>
              <w:ind w:left="909" w:right="871"/>
              <w:jc w:val="center"/>
              <w:rPr>
                <w:sz w:val="20"/>
              </w:rPr>
            </w:pPr>
            <w:r>
              <w:rPr>
                <w:sz w:val="20"/>
              </w:rPr>
              <w:t>102%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259" w:lineRule="auto" w:before="57"/>
        <w:ind w:left="134" w:right="8073" w:hanging="18"/>
      </w:pPr>
      <w:r>
        <w:rPr/>
        <w:t>atório de execução ício de</w:t>
      </w:r>
      <w:r>
        <w:rPr>
          <w:spacing w:val="2"/>
        </w:rPr>
        <w:t> </w:t>
      </w:r>
      <w:r>
        <w:rPr/>
        <w:t>2022.</w:t>
      </w:r>
    </w:p>
    <w:p>
      <w:pPr>
        <w:spacing w:after="0" w:line="259" w:lineRule="auto"/>
        <w:sectPr>
          <w:headerReference w:type="default" r:id="rId9"/>
          <w:pgSz w:w="11910" w:h="16840"/>
          <w:pgMar w:header="0" w:footer="0" w:top="1580" w:bottom="280" w:left="600" w:right="1400"/>
        </w:sectPr>
      </w:pPr>
    </w:p>
    <w:tbl>
      <w:tblPr>
        <w:tblW w:w="0" w:type="auto"/>
        <w:jc w:val="left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8"/>
      </w:tblGrid>
      <w:tr>
        <w:trPr>
          <w:trHeight w:val="474" w:hRule="atLeast"/>
        </w:trPr>
        <w:tc>
          <w:tcPr>
            <w:tcW w:w="2288" w:type="dxa"/>
            <w:tcBorders>
              <w:left w:val="nil"/>
            </w:tcBorders>
          </w:tcPr>
          <w:p>
            <w:pPr>
              <w:pStyle w:val="TableParagraph"/>
              <w:spacing w:line="240" w:lineRule="auto" w:before="101"/>
              <w:ind w:left="286" w:right="2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Proporção Realizado</w:t>
            </w:r>
          </w:p>
        </w:tc>
      </w:tr>
      <w:tr>
        <w:trPr>
          <w:trHeight w:val="227" w:hRule="atLeast"/>
        </w:trPr>
        <w:tc>
          <w:tcPr>
            <w:tcW w:w="2288" w:type="dxa"/>
          </w:tcPr>
          <w:p>
            <w:pPr>
              <w:pStyle w:val="TableParagraph"/>
              <w:ind w:left="909" w:right="871"/>
              <w:jc w:val="center"/>
              <w:rPr>
                <w:sz w:val="20"/>
              </w:rPr>
            </w:pPr>
            <w:r>
              <w:rPr>
                <w:sz w:val="20"/>
              </w:rPr>
              <w:t>78%</w:t>
            </w:r>
          </w:p>
        </w:tc>
      </w:tr>
      <w:tr>
        <w:trPr>
          <w:trHeight w:val="227" w:hRule="atLeast"/>
        </w:trPr>
        <w:tc>
          <w:tcPr>
            <w:tcW w:w="2288" w:type="dxa"/>
          </w:tcPr>
          <w:p>
            <w:pPr>
              <w:pStyle w:val="TableParagraph"/>
              <w:ind w:left="909" w:right="871"/>
              <w:jc w:val="center"/>
              <w:rPr>
                <w:sz w:val="20"/>
              </w:rPr>
            </w:pPr>
            <w:r>
              <w:rPr>
                <w:sz w:val="20"/>
              </w:rPr>
              <w:t>131%</w:t>
            </w:r>
          </w:p>
        </w:tc>
      </w:tr>
      <w:tr>
        <w:trPr>
          <w:trHeight w:val="227" w:hRule="atLeast"/>
        </w:trPr>
        <w:tc>
          <w:tcPr>
            <w:tcW w:w="2288" w:type="dxa"/>
          </w:tcPr>
          <w:p>
            <w:pPr>
              <w:pStyle w:val="TableParagraph"/>
              <w:ind w:left="909" w:right="871"/>
              <w:jc w:val="center"/>
              <w:rPr>
                <w:sz w:val="20"/>
              </w:rPr>
            </w:pPr>
            <w:r>
              <w:rPr>
                <w:sz w:val="20"/>
              </w:rPr>
              <w:t>81%</w:t>
            </w:r>
          </w:p>
        </w:tc>
      </w:tr>
      <w:tr>
        <w:trPr>
          <w:trHeight w:val="227" w:hRule="atLeast"/>
        </w:trPr>
        <w:tc>
          <w:tcPr>
            <w:tcW w:w="2288" w:type="dxa"/>
          </w:tcPr>
          <w:p>
            <w:pPr>
              <w:pStyle w:val="TableParagraph"/>
              <w:ind w:left="909" w:right="871"/>
              <w:jc w:val="center"/>
              <w:rPr>
                <w:sz w:val="20"/>
              </w:rPr>
            </w:pPr>
            <w:r>
              <w:rPr>
                <w:sz w:val="20"/>
              </w:rPr>
              <w:t>122%</w:t>
            </w:r>
          </w:p>
        </w:tc>
      </w:tr>
      <w:tr>
        <w:trPr>
          <w:trHeight w:val="227" w:hRule="atLeast"/>
        </w:trPr>
        <w:tc>
          <w:tcPr>
            <w:tcW w:w="2288" w:type="dxa"/>
          </w:tcPr>
          <w:p>
            <w:pPr>
              <w:pStyle w:val="TableParagraph"/>
              <w:ind w:left="909" w:right="871"/>
              <w:jc w:val="center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</w:tr>
      <w:tr>
        <w:trPr>
          <w:trHeight w:val="227" w:hRule="atLeast"/>
        </w:trPr>
        <w:tc>
          <w:tcPr>
            <w:tcW w:w="2288" w:type="dxa"/>
          </w:tcPr>
          <w:p>
            <w:pPr>
              <w:pStyle w:val="TableParagraph"/>
              <w:spacing w:line="208" w:lineRule="exact"/>
              <w:ind w:left="909" w:right="871"/>
              <w:jc w:val="center"/>
              <w:rPr>
                <w:sz w:val="20"/>
              </w:rPr>
            </w:pPr>
            <w:r>
              <w:rPr>
                <w:sz w:val="20"/>
              </w:rPr>
              <w:t>148%</w:t>
            </w:r>
          </w:p>
        </w:tc>
      </w:tr>
      <w:tr>
        <w:trPr>
          <w:trHeight w:val="227" w:hRule="atLeast"/>
        </w:trPr>
        <w:tc>
          <w:tcPr>
            <w:tcW w:w="2288" w:type="dxa"/>
          </w:tcPr>
          <w:p>
            <w:pPr>
              <w:pStyle w:val="TableParagraph"/>
              <w:ind w:left="909" w:right="871"/>
              <w:jc w:val="center"/>
              <w:rPr>
                <w:sz w:val="20"/>
              </w:rPr>
            </w:pPr>
            <w:r>
              <w:rPr>
                <w:sz w:val="20"/>
              </w:rPr>
              <w:t>74%</w:t>
            </w:r>
          </w:p>
        </w:tc>
      </w:tr>
      <w:tr>
        <w:trPr>
          <w:trHeight w:val="227" w:hRule="atLeast"/>
        </w:trPr>
        <w:tc>
          <w:tcPr>
            <w:tcW w:w="2288" w:type="dxa"/>
          </w:tcPr>
          <w:p>
            <w:pPr>
              <w:pStyle w:val="TableParagraph"/>
              <w:ind w:left="909" w:right="871"/>
              <w:jc w:val="center"/>
              <w:rPr>
                <w:sz w:val="20"/>
              </w:rPr>
            </w:pPr>
            <w:r>
              <w:rPr>
                <w:sz w:val="20"/>
              </w:rPr>
              <w:t>23%</w:t>
            </w:r>
          </w:p>
        </w:tc>
      </w:tr>
      <w:tr>
        <w:trPr>
          <w:trHeight w:val="227" w:hRule="atLeast"/>
        </w:trPr>
        <w:tc>
          <w:tcPr>
            <w:tcW w:w="2288" w:type="dxa"/>
          </w:tcPr>
          <w:p>
            <w:pPr>
              <w:pStyle w:val="TableParagraph"/>
              <w:ind w:left="909" w:right="871"/>
              <w:jc w:val="center"/>
              <w:rPr>
                <w:sz w:val="20"/>
              </w:rPr>
            </w:pPr>
            <w:r>
              <w:rPr>
                <w:sz w:val="20"/>
              </w:rPr>
              <w:t>223%</w:t>
            </w:r>
          </w:p>
        </w:tc>
      </w:tr>
      <w:tr>
        <w:trPr>
          <w:trHeight w:val="227" w:hRule="atLeast"/>
        </w:trPr>
        <w:tc>
          <w:tcPr>
            <w:tcW w:w="2288" w:type="dxa"/>
          </w:tcPr>
          <w:p>
            <w:pPr>
              <w:pStyle w:val="TableParagraph"/>
              <w:ind w:left="909" w:right="871"/>
              <w:jc w:val="center"/>
              <w:rPr>
                <w:sz w:val="20"/>
              </w:rPr>
            </w:pPr>
            <w:r>
              <w:rPr>
                <w:sz w:val="20"/>
              </w:rPr>
              <w:t>97%</w:t>
            </w:r>
          </w:p>
        </w:tc>
      </w:tr>
      <w:tr>
        <w:trPr>
          <w:trHeight w:val="227" w:hRule="atLeast"/>
        </w:trPr>
        <w:tc>
          <w:tcPr>
            <w:tcW w:w="2288" w:type="dxa"/>
          </w:tcPr>
          <w:p>
            <w:pPr>
              <w:pStyle w:val="TableParagraph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2288" w:type="dxa"/>
          </w:tcPr>
          <w:p>
            <w:pPr>
              <w:pStyle w:val="TableParagraph"/>
              <w:ind w:left="909" w:right="871"/>
              <w:jc w:val="center"/>
              <w:rPr>
                <w:sz w:val="20"/>
              </w:rPr>
            </w:pPr>
            <w:r>
              <w:rPr>
                <w:sz w:val="20"/>
              </w:rPr>
              <w:t>108%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59" w:lineRule="auto" w:before="56"/>
        <w:ind w:left="134" w:right="8073" w:hanging="18"/>
      </w:pPr>
      <w:r>
        <w:rPr/>
        <w:t>atório de execução ício de</w:t>
      </w:r>
      <w:r>
        <w:rPr>
          <w:spacing w:val="2"/>
        </w:rPr>
        <w:t> </w:t>
      </w:r>
      <w:r>
        <w:rPr/>
        <w:t>2022.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</w:p>
    <w:tbl>
      <w:tblPr>
        <w:tblW w:w="0" w:type="auto"/>
        <w:jc w:val="left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8"/>
      </w:tblGrid>
      <w:tr>
        <w:trPr>
          <w:trHeight w:val="474" w:hRule="atLeast"/>
        </w:trPr>
        <w:tc>
          <w:tcPr>
            <w:tcW w:w="2288" w:type="dxa"/>
            <w:tcBorders>
              <w:left w:val="nil"/>
            </w:tcBorders>
          </w:tcPr>
          <w:p>
            <w:pPr>
              <w:pStyle w:val="TableParagraph"/>
              <w:spacing w:line="240" w:lineRule="auto" w:before="104"/>
              <w:ind w:left="286" w:right="2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Proporção Realizado</w:t>
            </w:r>
          </w:p>
        </w:tc>
      </w:tr>
      <w:tr>
        <w:trPr>
          <w:trHeight w:val="227" w:hRule="atLeast"/>
        </w:trPr>
        <w:tc>
          <w:tcPr>
            <w:tcW w:w="2288" w:type="dxa"/>
          </w:tcPr>
          <w:p>
            <w:pPr>
              <w:pStyle w:val="TableParagraph"/>
              <w:ind w:left="909" w:right="871"/>
              <w:jc w:val="center"/>
              <w:rPr>
                <w:sz w:val="20"/>
              </w:rPr>
            </w:pPr>
            <w:r>
              <w:rPr>
                <w:sz w:val="20"/>
              </w:rPr>
              <w:t>171%</w:t>
            </w:r>
          </w:p>
        </w:tc>
      </w:tr>
      <w:tr>
        <w:trPr>
          <w:trHeight w:val="227" w:hRule="atLeast"/>
        </w:trPr>
        <w:tc>
          <w:tcPr>
            <w:tcW w:w="2288" w:type="dxa"/>
          </w:tcPr>
          <w:p>
            <w:pPr>
              <w:pStyle w:val="TableParagraph"/>
              <w:ind w:left="909" w:right="871"/>
              <w:jc w:val="center"/>
              <w:rPr>
                <w:sz w:val="20"/>
              </w:rPr>
            </w:pPr>
            <w:r>
              <w:rPr>
                <w:sz w:val="20"/>
              </w:rPr>
              <w:t>121%</w:t>
            </w:r>
          </w:p>
        </w:tc>
      </w:tr>
      <w:tr>
        <w:trPr>
          <w:trHeight w:val="227" w:hRule="atLeast"/>
        </w:trPr>
        <w:tc>
          <w:tcPr>
            <w:tcW w:w="2288" w:type="dxa"/>
          </w:tcPr>
          <w:p>
            <w:pPr>
              <w:pStyle w:val="TableParagraph"/>
              <w:spacing w:line="208" w:lineRule="exact"/>
              <w:ind w:left="909" w:right="871"/>
              <w:jc w:val="center"/>
              <w:rPr>
                <w:sz w:val="20"/>
              </w:rPr>
            </w:pPr>
            <w:r>
              <w:rPr>
                <w:sz w:val="20"/>
              </w:rPr>
              <w:t>52%</w:t>
            </w:r>
          </w:p>
        </w:tc>
      </w:tr>
      <w:tr>
        <w:trPr>
          <w:trHeight w:val="227" w:hRule="atLeast"/>
        </w:trPr>
        <w:tc>
          <w:tcPr>
            <w:tcW w:w="2288" w:type="dxa"/>
          </w:tcPr>
          <w:p>
            <w:pPr>
              <w:pStyle w:val="TableParagraph"/>
              <w:ind w:left="909" w:right="871"/>
              <w:jc w:val="center"/>
              <w:rPr>
                <w:sz w:val="20"/>
              </w:rPr>
            </w:pPr>
            <w:r>
              <w:rPr>
                <w:sz w:val="20"/>
              </w:rPr>
              <w:t>140%</w:t>
            </w:r>
          </w:p>
        </w:tc>
      </w:tr>
      <w:tr>
        <w:trPr>
          <w:trHeight w:val="227" w:hRule="atLeast"/>
        </w:trPr>
        <w:tc>
          <w:tcPr>
            <w:tcW w:w="2288" w:type="dxa"/>
          </w:tcPr>
          <w:p>
            <w:pPr>
              <w:pStyle w:val="TableParagraph"/>
              <w:ind w:left="909" w:right="871"/>
              <w:jc w:val="center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</w:tr>
      <w:tr>
        <w:trPr>
          <w:trHeight w:val="227" w:hRule="atLeast"/>
        </w:trPr>
        <w:tc>
          <w:tcPr>
            <w:tcW w:w="2288" w:type="dxa"/>
          </w:tcPr>
          <w:p>
            <w:pPr>
              <w:pStyle w:val="TableParagraph"/>
              <w:ind w:left="909" w:right="871"/>
              <w:jc w:val="center"/>
              <w:rPr>
                <w:sz w:val="20"/>
              </w:rPr>
            </w:pPr>
            <w:r>
              <w:rPr>
                <w:sz w:val="20"/>
              </w:rPr>
              <w:t>74%</w:t>
            </w:r>
          </w:p>
        </w:tc>
      </w:tr>
      <w:tr>
        <w:trPr>
          <w:trHeight w:val="227" w:hRule="atLeast"/>
        </w:trPr>
        <w:tc>
          <w:tcPr>
            <w:tcW w:w="2288" w:type="dxa"/>
          </w:tcPr>
          <w:p>
            <w:pPr>
              <w:pStyle w:val="TableParagraph"/>
              <w:ind w:left="909" w:right="871"/>
              <w:jc w:val="center"/>
              <w:rPr>
                <w:sz w:val="20"/>
              </w:rPr>
            </w:pPr>
            <w:r>
              <w:rPr>
                <w:sz w:val="20"/>
              </w:rPr>
              <w:t>74%</w:t>
            </w:r>
          </w:p>
        </w:tc>
      </w:tr>
      <w:tr>
        <w:trPr>
          <w:trHeight w:val="227" w:hRule="atLeast"/>
        </w:trPr>
        <w:tc>
          <w:tcPr>
            <w:tcW w:w="2288" w:type="dxa"/>
          </w:tcPr>
          <w:p>
            <w:pPr>
              <w:pStyle w:val="TableParagraph"/>
              <w:ind w:left="909" w:right="871"/>
              <w:jc w:val="center"/>
              <w:rPr>
                <w:sz w:val="20"/>
              </w:rPr>
            </w:pPr>
            <w:r>
              <w:rPr>
                <w:sz w:val="20"/>
              </w:rPr>
              <w:t>163%</w:t>
            </w:r>
          </w:p>
        </w:tc>
      </w:tr>
      <w:tr>
        <w:trPr>
          <w:trHeight w:val="227" w:hRule="atLeast"/>
        </w:trPr>
        <w:tc>
          <w:tcPr>
            <w:tcW w:w="2288" w:type="dxa"/>
          </w:tcPr>
          <w:p>
            <w:pPr>
              <w:pStyle w:val="TableParagraph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2288" w:type="dxa"/>
          </w:tcPr>
          <w:p>
            <w:pPr>
              <w:pStyle w:val="TableParagraph"/>
              <w:ind w:left="909" w:right="871"/>
              <w:jc w:val="center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59" w:lineRule="auto"/>
        <w:ind w:left="134" w:right="8073" w:hanging="18"/>
      </w:pPr>
      <w:r>
        <w:rPr/>
        <w:t>atório de execução ício de</w:t>
      </w:r>
      <w:r>
        <w:rPr>
          <w:spacing w:val="2"/>
        </w:rPr>
        <w:t> </w:t>
      </w:r>
      <w:r>
        <w:rPr/>
        <w:t>2022.</w:t>
      </w:r>
    </w:p>
    <w:p>
      <w:pPr>
        <w:spacing w:after="0" w:line="259" w:lineRule="auto"/>
        <w:sectPr>
          <w:headerReference w:type="default" r:id="rId10"/>
          <w:pgSz w:w="11910" w:h="16840"/>
          <w:pgMar w:header="1488" w:footer="0" w:top="1680" w:bottom="280" w:left="600" w:right="1400"/>
        </w:sectPr>
      </w:pPr>
    </w:p>
    <w:tbl>
      <w:tblPr>
        <w:tblW w:w="0" w:type="auto"/>
        <w:jc w:val="left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8"/>
      </w:tblGrid>
      <w:tr>
        <w:trPr>
          <w:trHeight w:val="474" w:hRule="atLeast"/>
        </w:trPr>
        <w:tc>
          <w:tcPr>
            <w:tcW w:w="2288" w:type="dxa"/>
            <w:tcBorders>
              <w:left w:val="nil"/>
            </w:tcBorders>
          </w:tcPr>
          <w:p>
            <w:pPr>
              <w:pStyle w:val="TableParagraph"/>
              <w:spacing w:line="240" w:lineRule="auto" w:before="101"/>
              <w:ind w:left="286" w:right="2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Proporção Realizado</w:t>
            </w:r>
          </w:p>
        </w:tc>
      </w:tr>
      <w:tr>
        <w:trPr>
          <w:trHeight w:val="227" w:hRule="atLeast"/>
        </w:trPr>
        <w:tc>
          <w:tcPr>
            <w:tcW w:w="2288" w:type="dxa"/>
          </w:tcPr>
          <w:p>
            <w:pPr>
              <w:pStyle w:val="TableParagraph"/>
              <w:ind w:left="909" w:right="871"/>
              <w:jc w:val="center"/>
              <w:rPr>
                <w:sz w:val="20"/>
              </w:rPr>
            </w:pPr>
            <w:r>
              <w:rPr>
                <w:sz w:val="20"/>
              </w:rPr>
              <w:t>77%</w:t>
            </w:r>
          </w:p>
        </w:tc>
      </w:tr>
      <w:tr>
        <w:trPr>
          <w:trHeight w:val="227" w:hRule="atLeast"/>
        </w:trPr>
        <w:tc>
          <w:tcPr>
            <w:tcW w:w="2288" w:type="dxa"/>
          </w:tcPr>
          <w:p>
            <w:pPr>
              <w:pStyle w:val="TableParagraph"/>
              <w:ind w:left="909" w:right="871"/>
              <w:jc w:val="center"/>
              <w:rPr>
                <w:sz w:val="20"/>
              </w:rPr>
            </w:pPr>
            <w:r>
              <w:rPr>
                <w:sz w:val="20"/>
              </w:rPr>
              <w:t>230%</w:t>
            </w:r>
          </w:p>
        </w:tc>
      </w:tr>
      <w:tr>
        <w:trPr>
          <w:trHeight w:val="227" w:hRule="atLeast"/>
        </w:trPr>
        <w:tc>
          <w:tcPr>
            <w:tcW w:w="2288" w:type="dxa"/>
          </w:tcPr>
          <w:p>
            <w:pPr>
              <w:pStyle w:val="TableParagraph"/>
              <w:ind w:left="909" w:right="871"/>
              <w:jc w:val="center"/>
              <w:rPr>
                <w:sz w:val="20"/>
              </w:rPr>
            </w:pPr>
            <w:r>
              <w:rPr>
                <w:sz w:val="20"/>
              </w:rPr>
              <w:t>112%</w:t>
            </w:r>
          </w:p>
        </w:tc>
      </w:tr>
      <w:tr>
        <w:trPr>
          <w:trHeight w:val="227" w:hRule="atLeast"/>
        </w:trPr>
        <w:tc>
          <w:tcPr>
            <w:tcW w:w="2288" w:type="dxa"/>
          </w:tcPr>
          <w:p>
            <w:pPr>
              <w:pStyle w:val="TableParagraph"/>
              <w:ind w:left="909" w:right="871"/>
              <w:jc w:val="center"/>
              <w:rPr>
                <w:sz w:val="20"/>
              </w:rPr>
            </w:pPr>
            <w:r>
              <w:rPr>
                <w:sz w:val="20"/>
              </w:rPr>
              <w:t>108%</w:t>
            </w:r>
          </w:p>
        </w:tc>
      </w:tr>
      <w:tr>
        <w:trPr>
          <w:trHeight w:val="227" w:hRule="atLeast"/>
        </w:trPr>
        <w:tc>
          <w:tcPr>
            <w:tcW w:w="2288" w:type="dxa"/>
          </w:tcPr>
          <w:p>
            <w:pPr>
              <w:pStyle w:val="TableParagraph"/>
              <w:ind w:left="909" w:right="871"/>
              <w:jc w:val="center"/>
              <w:rPr>
                <w:sz w:val="20"/>
              </w:rPr>
            </w:pPr>
            <w:r>
              <w:rPr>
                <w:sz w:val="20"/>
              </w:rPr>
              <w:t>82%</w:t>
            </w:r>
          </w:p>
        </w:tc>
      </w:tr>
      <w:tr>
        <w:trPr>
          <w:trHeight w:val="227" w:hRule="atLeast"/>
        </w:trPr>
        <w:tc>
          <w:tcPr>
            <w:tcW w:w="2288" w:type="dxa"/>
          </w:tcPr>
          <w:p>
            <w:pPr>
              <w:pStyle w:val="TableParagraph"/>
              <w:spacing w:line="208" w:lineRule="exact"/>
              <w:ind w:left="909" w:right="871"/>
              <w:jc w:val="center"/>
              <w:rPr>
                <w:sz w:val="20"/>
              </w:rPr>
            </w:pPr>
            <w:r>
              <w:rPr>
                <w:sz w:val="20"/>
              </w:rPr>
              <w:t>96%</w:t>
            </w:r>
          </w:p>
        </w:tc>
      </w:tr>
      <w:tr>
        <w:trPr>
          <w:trHeight w:val="227" w:hRule="atLeast"/>
        </w:trPr>
        <w:tc>
          <w:tcPr>
            <w:tcW w:w="2288" w:type="dxa"/>
          </w:tcPr>
          <w:p>
            <w:pPr>
              <w:pStyle w:val="TableParagraph"/>
              <w:ind w:left="909" w:right="871"/>
              <w:jc w:val="center"/>
              <w:rPr>
                <w:sz w:val="20"/>
              </w:rPr>
            </w:pPr>
            <w:r>
              <w:rPr>
                <w:sz w:val="20"/>
              </w:rPr>
              <w:t>124%</w:t>
            </w:r>
          </w:p>
        </w:tc>
      </w:tr>
      <w:tr>
        <w:trPr>
          <w:trHeight w:val="227" w:hRule="atLeast"/>
        </w:trPr>
        <w:tc>
          <w:tcPr>
            <w:tcW w:w="2288" w:type="dxa"/>
          </w:tcPr>
          <w:p>
            <w:pPr>
              <w:pStyle w:val="TableParagraph"/>
              <w:ind w:left="909" w:right="871"/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</w:tr>
      <w:tr>
        <w:trPr>
          <w:trHeight w:val="227" w:hRule="atLeast"/>
        </w:trPr>
        <w:tc>
          <w:tcPr>
            <w:tcW w:w="2288" w:type="dxa"/>
          </w:tcPr>
          <w:p>
            <w:pPr>
              <w:pStyle w:val="TableParagraph"/>
              <w:ind w:left="909" w:right="871"/>
              <w:jc w:val="center"/>
              <w:rPr>
                <w:sz w:val="20"/>
              </w:rPr>
            </w:pPr>
            <w:r>
              <w:rPr>
                <w:sz w:val="20"/>
              </w:rPr>
              <w:t>178%</w:t>
            </w:r>
          </w:p>
        </w:tc>
      </w:tr>
      <w:tr>
        <w:trPr>
          <w:trHeight w:val="227" w:hRule="atLeast"/>
        </w:trPr>
        <w:tc>
          <w:tcPr>
            <w:tcW w:w="2288" w:type="dxa"/>
          </w:tcPr>
          <w:p>
            <w:pPr>
              <w:pStyle w:val="TableParagraph"/>
              <w:ind w:left="909" w:right="871"/>
              <w:jc w:val="center"/>
              <w:rPr>
                <w:sz w:val="20"/>
              </w:rPr>
            </w:pPr>
            <w:r>
              <w:rPr>
                <w:sz w:val="20"/>
              </w:rPr>
              <w:t>99%</w:t>
            </w:r>
          </w:p>
        </w:tc>
      </w:tr>
      <w:tr>
        <w:trPr>
          <w:trHeight w:val="227" w:hRule="atLeast"/>
        </w:trPr>
        <w:tc>
          <w:tcPr>
            <w:tcW w:w="2288" w:type="dxa"/>
          </w:tcPr>
          <w:p>
            <w:pPr>
              <w:pStyle w:val="TableParagraph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2288" w:type="dxa"/>
          </w:tcPr>
          <w:p>
            <w:pPr>
              <w:pStyle w:val="TableParagraph"/>
              <w:ind w:left="909" w:right="871"/>
              <w:jc w:val="center"/>
              <w:rPr>
                <w:sz w:val="20"/>
              </w:rPr>
            </w:pPr>
            <w:r>
              <w:rPr>
                <w:sz w:val="20"/>
              </w:rPr>
              <w:t>104%</w:t>
            </w:r>
          </w:p>
        </w:tc>
      </w:tr>
    </w:tbl>
    <w:sectPr>
      <w:pgSz w:w="11910" w:h="16840"/>
      <w:pgMar w:header="1488" w:footer="0" w:top="1680" w:bottom="280" w:left="60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 Light">
    <w:altName w:val="Calibri Ligh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.360001pt;margin-top:71.019989pt;width:379.9pt;height:14pt;mso-position-horizontal-relative:page;mso-position-vertical-relative:page;z-index:-253020160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Contrato de Gestão nº 001/2019 - UBDS Cristo Redentor - Recurso Federal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.360001pt;margin-top:58.659992pt;width:339.5pt;height:14pt;mso-position-horizontal-relative:page;mso-position-vertical-relative:page;z-index:-253019136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Contrato de Gestão nº 002/2020 - UPA Oeste - Recurso Municipal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.360001pt;margin-top:58.659992pt;width:373.9pt;height:14pt;mso-position-horizontal-relative:page;mso-position-vertical-relative:page;z-index:-253018112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Contrato de Gestão nº 002/2021 - UBDS Vila Virgínia - Recurso Municipal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3017088" from="37.380001pt,84.319992pt" to="152.120001pt,84.319992pt" stroked="true" strokeweight=".140pt" strokecolor="#000000">
          <v:stroke dashstyle="solid"/>
          <w10:wrap type="none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pt-PT" w:bidi="pt-PT"/>
    </w:rPr>
  </w:style>
  <w:style w:styleId="Heading1" w:type="paragraph">
    <w:name w:val="Heading 1"/>
    <w:basedOn w:val="Normal"/>
    <w:uiPriority w:val="1"/>
    <w:qFormat/>
    <w:pPr>
      <w:ind w:left="4393"/>
      <w:outlineLvl w:val="1"/>
    </w:pPr>
    <w:rPr>
      <w:rFonts w:ascii="Calibri" w:hAnsi="Calibri" w:eastAsia="Calibri" w:cs="Calibri"/>
      <w:b/>
      <w:bCs/>
      <w:sz w:val="24"/>
      <w:szCs w:val="24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>
      <w:spacing w:line="207" w:lineRule="exact"/>
      <w:jc w:val="right"/>
    </w:pPr>
    <w:rPr>
      <w:rFonts w:ascii="Calibri" w:hAnsi="Calibri" w:eastAsia="Calibri" w:cs="Calibri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padrao</dc:creator>
  <dcterms:created xsi:type="dcterms:W3CDTF">2023-07-25T16:08:43Z</dcterms:created>
  <dcterms:modified xsi:type="dcterms:W3CDTF">2023-07-25T16:08:43Z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2023-07-25T00:00:00Z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2023-07-25T00:00:00Z</vt:filetime>
  </property>
</Properties>
</file>